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word/charts/chart10.xml" ContentType="application/vnd.openxmlformats-officedocument.drawingml.chart+xml"/>
  <Default Extension="png" ContentType="image/png"/>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7FA7" w:rsidRDefault="000F7FA7" w:rsidP="000F7FA7">
      <w:pPr>
        <w:spacing w:after="0" w:line="240" w:lineRule="auto"/>
        <w:rPr>
          <w:rFonts w:ascii="Tahoma" w:hAnsi="Tahoma" w:cs="Tahoma"/>
          <w:b/>
          <w:sz w:val="48"/>
          <w:szCs w:val="48"/>
        </w:rPr>
      </w:pPr>
      <w:r>
        <w:rPr>
          <w:rFonts w:ascii="Tahoma" w:hAnsi="Tahoma" w:cs="Tahoma"/>
          <w:b/>
          <w:sz w:val="48"/>
          <w:szCs w:val="48"/>
        </w:rPr>
        <w:t>POLÍ</w:t>
      </w:r>
      <w:r w:rsidRPr="00310447">
        <w:rPr>
          <w:rFonts w:ascii="Tahoma" w:hAnsi="Tahoma" w:cs="Tahoma"/>
          <w:b/>
          <w:sz w:val="48"/>
          <w:szCs w:val="48"/>
        </w:rPr>
        <w:t>TIC</w:t>
      </w:r>
      <w:r>
        <w:rPr>
          <w:rFonts w:ascii="Tahoma" w:hAnsi="Tahoma" w:cs="Tahoma"/>
          <w:b/>
          <w:sz w:val="48"/>
          <w:szCs w:val="48"/>
        </w:rPr>
        <w:t xml:space="preserve">A DE </w:t>
      </w:r>
    </w:p>
    <w:p w:rsidR="000F7FA7" w:rsidRPr="002A140C" w:rsidRDefault="000F7FA7" w:rsidP="000F7FA7">
      <w:pPr>
        <w:spacing w:after="0" w:line="240" w:lineRule="auto"/>
        <w:rPr>
          <w:rFonts w:ascii="Tahoma" w:hAnsi="Tahoma" w:cs="Tahoma"/>
          <w:b/>
          <w:sz w:val="48"/>
          <w:szCs w:val="48"/>
        </w:rPr>
      </w:pPr>
      <w:r>
        <w:rPr>
          <w:rFonts w:ascii="Tahoma" w:hAnsi="Tahoma" w:cs="Tahoma"/>
          <w:b/>
          <w:sz w:val="48"/>
          <w:szCs w:val="48"/>
        </w:rPr>
        <w:t xml:space="preserve">INVESTIMENTOS </w:t>
      </w:r>
      <w:r w:rsidRPr="007930C5">
        <w:rPr>
          <w:rFonts w:ascii="Tahoma" w:hAnsi="Tahoma" w:cs="Tahoma"/>
          <w:b/>
          <w:sz w:val="48"/>
          <w:szCs w:val="48"/>
        </w:rPr>
        <w:t>202</w:t>
      </w:r>
      <w:r w:rsidR="00E16EDA" w:rsidRPr="007930C5">
        <w:rPr>
          <w:rFonts w:ascii="Tahoma" w:hAnsi="Tahoma" w:cs="Tahoma"/>
          <w:b/>
          <w:sz w:val="48"/>
          <w:szCs w:val="48"/>
        </w:rPr>
        <w:t>5</w:t>
      </w:r>
    </w:p>
    <w:p w:rsidR="000F7FA7" w:rsidRDefault="000F7FA7" w:rsidP="000F7FA7">
      <w:pPr>
        <w:spacing w:after="120"/>
        <w:rPr>
          <w:sz w:val="28"/>
          <w:szCs w:val="30"/>
        </w:rPr>
      </w:pPr>
    </w:p>
    <w:p w:rsidR="000F7FA7" w:rsidRDefault="000F7FA7" w:rsidP="000F7FA7">
      <w:pPr>
        <w:spacing w:after="120"/>
        <w:rPr>
          <w:sz w:val="28"/>
          <w:szCs w:val="30"/>
        </w:rPr>
      </w:pPr>
    </w:p>
    <w:p w:rsidR="000F7FA7" w:rsidRDefault="000F7FA7" w:rsidP="000F7FA7">
      <w:pPr>
        <w:spacing w:after="120"/>
        <w:rPr>
          <w:sz w:val="28"/>
          <w:szCs w:val="30"/>
        </w:rPr>
      </w:pPr>
    </w:p>
    <w:p w:rsidR="000F7FA7" w:rsidRDefault="000F7FA7" w:rsidP="000F7FA7">
      <w:pPr>
        <w:spacing w:after="120"/>
        <w:rPr>
          <w:sz w:val="28"/>
          <w:szCs w:val="30"/>
        </w:rPr>
      </w:pPr>
    </w:p>
    <w:p w:rsidR="00465C63" w:rsidRPr="000E119C" w:rsidRDefault="00465C63" w:rsidP="000F7FA7">
      <w:pPr>
        <w:spacing w:after="120"/>
        <w:rPr>
          <w:rFonts w:ascii="Tahoma" w:hAnsi="Tahoma" w:cs="Tahoma"/>
          <w:b/>
          <w:color w:val="002060"/>
          <w:sz w:val="28"/>
          <w:szCs w:val="30"/>
        </w:rPr>
      </w:pPr>
      <w:r w:rsidRPr="000E119C">
        <w:rPr>
          <w:sz w:val="28"/>
          <w:szCs w:val="30"/>
        </w:rPr>
        <w:object w:dxaOrig="2425" w:dyaOrig="25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pt;height:14.4pt" o:ole="">
            <v:imagedata r:id="rId8" o:title=""/>
          </v:shape>
          <o:OLEObject Type="Embed" ProgID="CorelDRAW.Graphic.13" ShapeID="_x0000_i1025" DrawAspect="Content" ObjectID="_1792498561" r:id="rId9"/>
        </w:object>
      </w:r>
      <w:r w:rsidRPr="000E119C">
        <w:rPr>
          <w:sz w:val="28"/>
          <w:szCs w:val="30"/>
        </w:rPr>
        <w:t xml:space="preserve"> </w:t>
      </w:r>
      <w:r w:rsidR="007A0B11">
        <w:rPr>
          <w:rFonts w:ascii="Tahoma" w:hAnsi="Tahoma" w:cs="Tahoma"/>
          <w:b/>
          <w:color w:val="002060"/>
          <w:sz w:val="28"/>
          <w:szCs w:val="30"/>
        </w:rPr>
        <w:t>POLÍTICA DE INVESTIMENTOS</w:t>
      </w:r>
      <w:r w:rsidRPr="000E119C">
        <w:rPr>
          <w:rFonts w:ascii="Tahoma" w:hAnsi="Tahoma" w:cs="Tahoma"/>
          <w:b/>
          <w:color w:val="002060"/>
          <w:sz w:val="28"/>
          <w:szCs w:val="30"/>
        </w:rPr>
        <w:t xml:space="preserve"> </w:t>
      </w:r>
      <w:r w:rsidRPr="007930C5">
        <w:rPr>
          <w:rFonts w:ascii="Tahoma" w:hAnsi="Tahoma" w:cs="Tahoma"/>
          <w:b/>
          <w:color w:val="002060"/>
          <w:sz w:val="28"/>
          <w:szCs w:val="30"/>
        </w:rPr>
        <w:t>202</w:t>
      </w:r>
      <w:r w:rsidR="00E16EDA" w:rsidRPr="007930C5">
        <w:rPr>
          <w:rFonts w:ascii="Tahoma" w:hAnsi="Tahoma" w:cs="Tahoma"/>
          <w:b/>
          <w:color w:val="002060"/>
          <w:sz w:val="28"/>
          <w:szCs w:val="30"/>
        </w:rPr>
        <w:t>5</w:t>
      </w:r>
      <w:r w:rsidRPr="000E119C">
        <w:rPr>
          <w:rFonts w:ascii="Tahoma" w:hAnsi="Tahoma" w:cs="Tahoma"/>
          <w:b/>
          <w:color w:val="002060"/>
          <w:sz w:val="28"/>
          <w:szCs w:val="30"/>
        </w:rPr>
        <w:t xml:space="preserve"> </w:t>
      </w:r>
      <w:r w:rsidRPr="000E119C">
        <w:rPr>
          <w:sz w:val="28"/>
          <w:szCs w:val="30"/>
        </w:rPr>
        <w:object w:dxaOrig="3163" w:dyaOrig="3187">
          <v:shape id="_x0000_i1026" type="#_x0000_t75" style="width:21.3pt;height:21.3pt" o:ole="">
            <v:imagedata r:id="rId10" o:title=""/>
          </v:shape>
          <o:OLEObject Type="Embed" ProgID="CorelDRAW.Graphic.13" ShapeID="_x0000_i1026" DrawAspect="Content" ObjectID="_1792498562" r:id="rId11"/>
        </w:object>
      </w:r>
    </w:p>
    <w:p w:rsidR="00465C63" w:rsidRDefault="00465C63" w:rsidP="00A50E9C">
      <w:pPr>
        <w:spacing w:after="120"/>
        <w:jc w:val="both"/>
        <w:rPr>
          <w:rFonts w:ascii="Tahoma" w:hAnsi="Tahoma" w:cs="Tahoma"/>
        </w:rPr>
      </w:pPr>
    </w:p>
    <w:p w:rsidR="000F7FA7" w:rsidRDefault="000F7FA7" w:rsidP="00A50E9C">
      <w:pPr>
        <w:spacing w:after="120"/>
        <w:jc w:val="both"/>
        <w:rPr>
          <w:rFonts w:ascii="Tahoma" w:hAnsi="Tahoma" w:cs="Tahoma"/>
        </w:rPr>
      </w:pPr>
    </w:p>
    <w:p w:rsidR="00465C63" w:rsidRPr="00BC3DE6" w:rsidRDefault="00465C63" w:rsidP="000F7FA7">
      <w:pPr>
        <w:spacing w:before="120" w:after="120" w:line="240" w:lineRule="auto"/>
        <w:ind w:left="1134" w:firstLine="709"/>
        <w:jc w:val="both"/>
        <w:rPr>
          <w:rFonts w:ascii="Tahoma" w:hAnsi="Tahoma" w:cs="Tahoma"/>
          <w:sz w:val="18"/>
          <w:szCs w:val="18"/>
        </w:rPr>
      </w:pPr>
      <w:r w:rsidRPr="00180805">
        <w:rPr>
          <w:rFonts w:ascii="Tahoma" w:hAnsi="Tahoma" w:cs="Tahoma"/>
          <w:sz w:val="18"/>
          <w:szCs w:val="18"/>
        </w:rPr>
        <w:t xml:space="preserve">Os responsáveis </w:t>
      </w:r>
      <w:r w:rsidRPr="00BC3DE6">
        <w:rPr>
          <w:rFonts w:ascii="Tahoma" w:hAnsi="Tahoma" w:cs="Tahoma"/>
          <w:sz w:val="18"/>
          <w:szCs w:val="18"/>
        </w:rPr>
        <w:t xml:space="preserve">pela gestão do </w:t>
      </w:r>
      <w:r w:rsidR="00F53C5D" w:rsidRPr="00BC3DE6">
        <w:rPr>
          <w:rFonts w:ascii="Tahoma" w:hAnsi="Tahoma" w:cs="Tahoma"/>
          <w:sz w:val="18"/>
          <w:szCs w:val="18"/>
        </w:rPr>
        <w:t>Regime Próprio de Previdência Social</w:t>
      </w:r>
      <w:r w:rsidR="00B80635" w:rsidRPr="00BC3DE6">
        <w:rPr>
          <w:rFonts w:ascii="Tahoma" w:hAnsi="Tahoma" w:cs="Tahoma"/>
          <w:sz w:val="18"/>
          <w:szCs w:val="18"/>
        </w:rPr>
        <w:t xml:space="preserve"> (RPPS)</w:t>
      </w:r>
      <w:r w:rsidRPr="00BC3DE6">
        <w:rPr>
          <w:rFonts w:ascii="Tahoma" w:hAnsi="Tahoma" w:cs="Tahoma"/>
          <w:sz w:val="18"/>
          <w:szCs w:val="18"/>
        </w:rPr>
        <w:t xml:space="preserve">, antes do exercício a que se referir, deverão definir a política anual de aplicação dos recursos, isto é, a </w:t>
      </w:r>
      <w:r w:rsidR="007A0B11" w:rsidRPr="00BC3DE6">
        <w:rPr>
          <w:rFonts w:ascii="Tahoma" w:hAnsi="Tahoma" w:cs="Tahoma"/>
          <w:sz w:val="18"/>
          <w:szCs w:val="18"/>
        </w:rPr>
        <w:t>Política de Investimentos</w:t>
      </w:r>
      <w:r w:rsidRPr="00BC3DE6">
        <w:rPr>
          <w:rFonts w:ascii="Tahoma" w:hAnsi="Tahoma" w:cs="Tahoma"/>
          <w:sz w:val="18"/>
          <w:szCs w:val="18"/>
        </w:rPr>
        <w:t xml:space="preserve">. Este documento estabelece o processo de investimento, ajudando o investidor a entender suas necessidades específicas, e aumentando a probabilidade de decisões adequadas ao seu perfil de investidor. </w:t>
      </w:r>
    </w:p>
    <w:p w:rsidR="00465C63" w:rsidRPr="00BC3DE6" w:rsidRDefault="00465C63" w:rsidP="000F7FA7">
      <w:pPr>
        <w:spacing w:before="120" w:after="120" w:line="240" w:lineRule="auto"/>
        <w:ind w:left="1134" w:firstLine="709"/>
        <w:jc w:val="both"/>
        <w:rPr>
          <w:rFonts w:ascii="Tahoma" w:hAnsi="Tahoma" w:cs="Tahoma"/>
          <w:sz w:val="18"/>
          <w:szCs w:val="18"/>
        </w:rPr>
      </w:pPr>
      <w:r w:rsidRPr="00BC3DE6">
        <w:rPr>
          <w:rFonts w:ascii="Tahoma" w:hAnsi="Tahoma" w:cs="Tahoma"/>
          <w:sz w:val="18"/>
          <w:szCs w:val="18"/>
        </w:rPr>
        <w:t xml:space="preserve">A elaboração desta </w:t>
      </w:r>
      <w:r w:rsidR="007A0B11" w:rsidRPr="00BC3DE6">
        <w:rPr>
          <w:rFonts w:ascii="Tahoma" w:hAnsi="Tahoma" w:cs="Tahoma"/>
          <w:sz w:val="18"/>
          <w:szCs w:val="18"/>
        </w:rPr>
        <w:t>Política de Investimentos</w:t>
      </w:r>
      <w:r w:rsidRPr="00BC3DE6">
        <w:rPr>
          <w:rFonts w:ascii="Tahoma" w:hAnsi="Tahoma" w:cs="Tahoma"/>
          <w:sz w:val="18"/>
          <w:szCs w:val="18"/>
        </w:rPr>
        <w:t xml:space="preserve"> representa uma formalidade legal</w:t>
      </w:r>
      <w:r w:rsidR="00B80635" w:rsidRPr="00BC3DE6">
        <w:rPr>
          <w:rFonts w:ascii="Tahoma" w:hAnsi="Tahoma" w:cs="Tahoma"/>
          <w:sz w:val="18"/>
          <w:szCs w:val="18"/>
        </w:rPr>
        <w:t>,</w:t>
      </w:r>
      <w:r w:rsidRPr="00BC3DE6">
        <w:rPr>
          <w:rFonts w:ascii="Tahoma" w:hAnsi="Tahoma" w:cs="Tahoma"/>
          <w:sz w:val="18"/>
          <w:szCs w:val="18"/>
        </w:rPr>
        <w:t xml:space="preserve"> que fundamenta e norteia todo o processo de tomada de decisão relativo aos investimentos do RPPS, empregada como instrumento necessário para garantir a consistência da gestão dos recursos em busca do equilíbrio econômico-financeiro</w:t>
      </w:r>
      <w:r w:rsidR="00BC3DE6" w:rsidRPr="00BC3DE6">
        <w:rPr>
          <w:rFonts w:ascii="Tahoma" w:hAnsi="Tahoma" w:cs="Tahoma"/>
          <w:sz w:val="18"/>
          <w:szCs w:val="18"/>
        </w:rPr>
        <w:t>.</w:t>
      </w:r>
    </w:p>
    <w:p w:rsidR="00465C63" w:rsidRPr="00BC3DE6" w:rsidRDefault="00465C63" w:rsidP="000F7FA7">
      <w:pPr>
        <w:spacing w:before="120" w:after="120" w:line="240" w:lineRule="auto"/>
        <w:ind w:left="1134" w:firstLine="709"/>
        <w:jc w:val="both"/>
        <w:rPr>
          <w:rFonts w:ascii="Tahoma" w:hAnsi="Tahoma" w:cs="Tahoma"/>
          <w:sz w:val="18"/>
          <w:szCs w:val="18"/>
        </w:rPr>
      </w:pPr>
      <w:r w:rsidRPr="00BC3DE6">
        <w:rPr>
          <w:rFonts w:ascii="Tahoma" w:hAnsi="Tahoma" w:cs="Tahoma"/>
          <w:sz w:val="18"/>
          <w:szCs w:val="18"/>
        </w:rPr>
        <w:t xml:space="preserve">A presente Política estabelece os princípios e diretrizes que devem reger os investimentos dos recursos conferidos a entidade, com vistas a promover a segurança, liquidez e rentabilidade necessária para complementar o equilíbrio entre os ativos e passivos do </w:t>
      </w:r>
      <w:r w:rsidR="00B80635" w:rsidRPr="00BC3DE6">
        <w:rPr>
          <w:rFonts w:ascii="Tahoma" w:hAnsi="Tahoma" w:cs="Tahoma"/>
          <w:sz w:val="18"/>
          <w:szCs w:val="18"/>
        </w:rPr>
        <w:t>P</w:t>
      </w:r>
      <w:r w:rsidRPr="00BC3DE6">
        <w:rPr>
          <w:rFonts w:ascii="Tahoma" w:hAnsi="Tahoma" w:cs="Tahoma"/>
          <w:sz w:val="18"/>
          <w:szCs w:val="18"/>
        </w:rPr>
        <w:t>lano de Benefícios.</w:t>
      </w:r>
    </w:p>
    <w:p w:rsidR="00465C63" w:rsidRPr="00BC3DE6" w:rsidRDefault="00465C63" w:rsidP="000F7FA7">
      <w:pPr>
        <w:spacing w:before="120" w:after="120" w:line="240" w:lineRule="auto"/>
        <w:ind w:left="1134" w:firstLine="709"/>
        <w:jc w:val="both"/>
        <w:rPr>
          <w:rFonts w:ascii="Tahoma" w:hAnsi="Tahoma" w:cs="Tahoma"/>
          <w:sz w:val="18"/>
          <w:szCs w:val="18"/>
        </w:rPr>
      </w:pPr>
      <w:r w:rsidRPr="00BC3DE6">
        <w:rPr>
          <w:rFonts w:ascii="Tahoma" w:hAnsi="Tahoma" w:cs="Tahoma"/>
          <w:sz w:val="18"/>
          <w:szCs w:val="18"/>
        </w:rPr>
        <w:t xml:space="preserve">A </w:t>
      </w:r>
      <w:r w:rsidR="007A0B11" w:rsidRPr="00BC3DE6">
        <w:rPr>
          <w:rFonts w:ascii="Tahoma" w:hAnsi="Tahoma" w:cs="Tahoma"/>
          <w:sz w:val="18"/>
          <w:szCs w:val="18"/>
        </w:rPr>
        <w:t>Política de Investimentos</w:t>
      </w:r>
      <w:r w:rsidRPr="00BC3DE6">
        <w:rPr>
          <w:rFonts w:ascii="Tahoma" w:hAnsi="Tahoma" w:cs="Tahoma"/>
          <w:sz w:val="18"/>
          <w:szCs w:val="18"/>
        </w:rPr>
        <w:t xml:space="preserve"> do RPPS deve ser constituída pelos seguintes elementos básicos: o modelo de gestão a ser adotado e, se for o caso, os critérios para a contratação de pessoas jurídicas autorizadas</w:t>
      </w:r>
      <w:r w:rsidR="00B80635" w:rsidRPr="00BC3DE6">
        <w:rPr>
          <w:rFonts w:ascii="Tahoma" w:hAnsi="Tahoma" w:cs="Tahoma"/>
          <w:sz w:val="18"/>
          <w:szCs w:val="18"/>
        </w:rPr>
        <w:t>,</w:t>
      </w:r>
      <w:r w:rsidRPr="00BC3DE6">
        <w:rPr>
          <w:rFonts w:ascii="Tahoma" w:hAnsi="Tahoma" w:cs="Tahoma"/>
          <w:sz w:val="18"/>
          <w:szCs w:val="18"/>
        </w:rPr>
        <w:t xml:space="preserve"> nos termos da legislação em vigor</w:t>
      </w:r>
      <w:r w:rsidR="00B80635" w:rsidRPr="00BC3DE6">
        <w:rPr>
          <w:rFonts w:ascii="Tahoma" w:hAnsi="Tahoma" w:cs="Tahoma"/>
          <w:sz w:val="18"/>
          <w:szCs w:val="18"/>
        </w:rPr>
        <w:t>,</w:t>
      </w:r>
      <w:r w:rsidRPr="00BC3DE6">
        <w:rPr>
          <w:rFonts w:ascii="Tahoma" w:hAnsi="Tahoma" w:cs="Tahoma"/>
          <w:sz w:val="18"/>
          <w:szCs w:val="18"/>
        </w:rPr>
        <w:t xml:space="preserve"> para o exercício profissional de administração de carteiras; a estratégia de alocação dos recursos entre os diversos segmentos de aplicação e as respectivas carteiras de investimentos; os parâmetros de rentabilidade perseguidos, que deverão buscar compatibilidade com o perfil de suas obrigações, tendo em vista a necessidade de busca e manutenção do equilíbrio financeiro e atuarial e os limites de diversificação e concentração previstos na legislação; e os limites utilizados para investimentos em títulos e valores mobiliários de emissão ou coobrigação de uma mesma pessoa jurídica - </w:t>
      </w:r>
      <w:r w:rsidRPr="00BC3DE6">
        <w:rPr>
          <w:rFonts w:ascii="Tahoma" w:hAnsi="Tahoma" w:cs="Tahoma"/>
          <w:b/>
          <w:sz w:val="18"/>
          <w:szCs w:val="18"/>
        </w:rPr>
        <w:t>Art. 4º, Subseção II</w:t>
      </w:r>
      <w:r w:rsidR="00B80635" w:rsidRPr="00BC3DE6">
        <w:rPr>
          <w:rFonts w:ascii="Tahoma" w:hAnsi="Tahoma" w:cs="Tahoma"/>
          <w:b/>
          <w:sz w:val="18"/>
          <w:szCs w:val="18"/>
        </w:rPr>
        <w:t>,</w:t>
      </w:r>
      <w:r w:rsidRPr="00BC3DE6">
        <w:rPr>
          <w:rFonts w:ascii="Tahoma" w:hAnsi="Tahoma" w:cs="Tahoma"/>
          <w:b/>
          <w:sz w:val="18"/>
          <w:szCs w:val="18"/>
        </w:rPr>
        <w:t xml:space="preserve"> Resolução CMN </w:t>
      </w:r>
      <w:r w:rsidR="00D57CDD" w:rsidRPr="00BC3DE6">
        <w:rPr>
          <w:rFonts w:ascii="Tahoma" w:hAnsi="Tahoma" w:cs="Tahoma"/>
          <w:b/>
          <w:sz w:val="18"/>
          <w:szCs w:val="18"/>
        </w:rPr>
        <w:t>4.963/2021</w:t>
      </w:r>
      <w:r w:rsidRPr="00BC3DE6">
        <w:rPr>
          <w:rFonts w:ascii="Tahoma" w:hAnsi="Tahoma" w:cs="Tahoma"/>
          <w:sz w:val="18"/>
          <w:szCs w:val="18"/>
        </w:rPr>
        <w:t>.</w:t>
      </w:r>
    </w:p>
    <w:p w:rsidR="00414E7A" w:rsidRPr="00BC3DE6" w:rsidRDefault="002E755E" w:rsidP="000F7FA7">
      <w:pPr>
        <w:spacing w:before="120" w:after="120" w:line="240" w:lineRule="auto"/>
        <w:ind w:left="1134" w:firstLine="709"/>
        <w:jc w:val="both"/>
        <w:rPr>
          <w:rFonts w:ascii="Tahoma" w:hAnsi="Tahoma" w:cs="Tahoma"/>
          <w:sz w:val="18"/>
          <w:szCs w:val="18"/>
        </w:rPr>
      </w:pPr>
      <w:r w:rsidRPr="00BC3DE6">
        <w:rPr>
          <w:rFonts w:ascii="Tahoma" w:hAnsi="Tahoma" w:cs="Tahoma"/>
          <w:sz w:val="18"/>
          <w:szCs w:val="18"/>
        </w:rPr>
        <w:t>Em suma</w:t>
      </w:r>
      <w:r w:rsidR="00465C63" w:rsidRPr="00BC3DE6">
        <w:rPr>
          <w:rFonts w:ascii="Tahoma" w:hAnsi="Tahoma" w:cs="Tahoma"/>
          <w:sz w:val="18"/>
          <w:szCs w:val="18"/>
        </w:rPr>
        <w:t xml:space="preserve">, a </w:t>
      </w:r>
      <w:r w:rsidR="007A0B11" w:rsidRPr="00BC3DE6">
        <w:rPr>
          <w:rFonts w:ascii="Tahoma" w:hAnsi="Tahoma" w:cs="Tahoma"/>
          <w:sz w:val="18"/>
          <w:szCs w:val="18"/>
        </w:rPr>
        <w:t>Política de Investimentos</w:t>
      </w:r>
      <w:r w:rsidR="00465C63" w:rsidRPr="00BC3DE6">
        <w:rPr>
          <w:rFonts w:ascii="Tahoma" w:hAnsi="Tahoma" w:cs="Tahoma"/>
          <w:sz w:val="18"/>
          <w:szCs w:val="18"/>
        </w:rPr>
        <w:t xml:space="preserve"> </w:t>
      </w:r>
      <w:r w:rsidR="00414E7A" w:rsidRPr="00BC3DE6">
        <w:rPr>
          <w:rFonts w:ascii="Tahoma" w:hAnsi="Tahoma" w:cs="Tahoma"/>
          <w:sz w:val="18"/>
          <w:szCs w:val="18"/>
        </w:rPr>
        <w:t xml:space="preserve">traz os limites de alocação em ativos de renda fixa, renda variável, </w:t>
      </w:r>
      <w:r w:rsidR="0052501B" w:rsidRPr="00BC3DE6">
        <w:rPr>
          <w:rFonts w:ascii="Tahoma" w:hAnsi="Tahoma" w:cs="Tahoma"/>
          <w:sz w:val="18"/>
          <w:szCs w:val="18"/>
        </w:rPr>
        <w:t>e</w:t>
      </w:r>
      <w:r w:rsidR="00414E7A" w:rsidRPr="00BC3DE6">
        <w:rPr>
          <w:rFonts w:ascii="Tahoma" w:hAnsi="Tahoma" w:cs="Tahoma"/>
          <w:sz w:val="18"/>
          <w:szCs w:val="18"/>
        </w:rPr>
        <w:t>struturados, fundos imobiliários e empréstimos consignados, em consonância com a legislação vigente. Além desses limites, há vedações específicas que visam dotar os gestores de orientações quanto à alocação dos recursos financeiros em produtos e ativos adequados ao perfil e às necessidades atuariais do RPPS.</w:t>
      </w:r>
    </w:p>
    <w:p w:rsidR="000F7FA7" w:rsidRDefault="00414E7A" w:rsidP="000F7FA7">
      <w:pPr>
        <w:spacing w:before="120" w:after="120" w:line="240" w:lineRule="auto"/>
        <w:ind w:left="1134" w:firstLine="709"/>
        <w:jc w:val="both"/>
        <w:rPr>
          <w:rFonts w:ascii="Tahoma" w:hAnsi="Tahoma" w:cs="Tahoma"/>
          <w:sz w:val="18"/>
          <w:szCs w:val="18"/>
        </w:rPr>
      </w:pPr>
      <w:r w:rsidRPr="00BC3DE6">
        <w:rPr>
          <w:rFonts w:ascii="Tahoma" w:hAnsi="Tahoma" w:cs="Tahoma"/>
          <w:sz w:val="18"/>
          <w:szCs w:val="18"/>
        </w:rPr>
        <w:t>São utilizados cenários projetados pelo mercado atual e futuro, bem como</w:t>
      </w:r>
      <w:r w:rsidR="0052501B" w:rsidRPr="00BC3DE6">
        <w:rPr>
          <w:rFonts w:ascii="Tahoma" w:hAnsi="Tahoma" w:cs="Tahoma"/>
          <w:sz w:val="18"/>
          <w:szCs w:val="18"/>
        </w:rPr>
        <w:t>,</w:t>
      </w:r>
      <w:r w:rsidRPr="00BC3DE6">
        <w:rPr>
          <w:rFonts w:ascii="Tahoma" w:hAnsi="Tahoma" w:cs="Tahoma"/>
          <w:sz w:val="18"/>
          <w:szCs w:val="18"/>
        </w:rPr>
        <w:t xml:space="preserve"> análises realizadas pela equipe da Consultoria Referência em conjunto com </w:t>
      </w:r>
      <w:r w:rsidR="007F6D14" w:rsidRPr="00BC3DE6">
        <w:rPr>
          <w:rFonts w:ascii="Tahoma" w:hAnsi="Tahoma" w:cs="Tahoma"/>
          <w:sz w:val="18"/>
          <w:szCs w:val="18"/>
        </w:rPr>
        <w:t>Comitê de Investimentos</w:t>
      </w:r>
      <w:r w:rsidRPr="00BC3DE6">
        <w:rPr>
          <w:rFonts w:ascii="Tahoma" w:hAnsi="Tahoma" w:cs="Tahoma"/>
          <w:sz w:val="18"/>
          <w:szCs w:val="18"/>
        </w:rPr>
        <w:t>. O documento em questão pode ser revisto ou alterado, de forma justificada, com</w:t>
      </w:r>
      <w:r w:rsidRPr="00414E7A">
        <w:rPr>
          <w:rFonts w:ascii="Tahoma" w:hAnsi="Tahoma" w:cs="Tahoma"/>
          <w:sz w:val="18"/>
          <w:szCs w:val="18"/>
        </w:rPr>
        <w:t xml:space="preserve"> objetivo de se adequar ao mercado ou à eventual nova legislação.</w:t>
      </w:r>
    </w:p>
    <w:p w:rsidR="000F7FA7" w:rsidRDefault="000F7FA7">
      <w:pPr>
        <w:rPr>
          <w:rFonts w:ascii="Tahoma" w:hAnsi="Tahoma" w:cs="Tahoma"/>
          <w:sz w:val="18"/>
          <w:szCs w:val="18"/>
        </w:rPr>
      </w:pPr>
      <w:r>
        <w:rPr>
          <w:rFonts w:ascii="Tahoma" w:hAnsi="Tahoma" w:cs="Tahoma"/>
          <w:sz w:val="18"/>
          <w:szCs w:val="18"/>
        </w:rPr>
        <w:br w:type="page"/>
      </w:r>
    </w:p>
    <w:p w:rsidR="00465C63" w:rsidRDefault="008F04AC" w:rsidP="00A50E9C">
      <w:pPr>
        <w:spacing w:after="120"/>
        <w:ind w:left="2268"/>
        <w:jc w:val="both"/>
        <w:rPr>
          <w:rFonts w:ascii="Tahoma" w:hAnsi="Tahoma" w:cs="Tahoma"/>
        </w:rPr>
      </w:pPr>
      <w:r>
        <w:rPr>
          <w:rFonts w:ascii="Tahoma" w:hAnsi="Tahoma" w:cs="Tahoma"/>
          <w:noProof/>
        </w:rPr>
        <w:lastRenderedPageBreak/>
        <w:pict>
          <v:shapetype id="_x0000_t202" coordsize="21600,21600" o:spt="202" path="m,l,21600r21600,l21600,xe">
            <v:stroke joinstyle="miter"/>
            <v:path gradientshapeok="t" o:connecttype="rect"/>
          </v:shapetype>
          <v:shape id="Text Box 4" o:spid="_x0000_s2112" type="#_x0000_t202" style="position:absolute;left:0;text-align:left;margin-left:-20.55pt;margin-top:-15.55pt;width:477.05pt;height:149.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" filled="f" stroked="f">
            <v:textbox>
              <w:txbxContent>
                <w:p w:rsidR="007A0B11" w:rsidRPr="00144DFD" w:rsidRDefault="008F04AC" w:rsidP="00144DFD">
                  <w:pPr>
                    <w:rPr>
                      <w:szCs w:val="48"/>
                    </w:rPr>
                  </w:pPr>
                  <w:r>
                    <w:rPr>
                      <w:rFonts w:ascii="Tahoma" w:hAnsi="Tahoma" w:cs="Tahoma"/>
                      <w:b/>
                      <w:noProof/>
                      <w:sz w:val="52"/>
                      <w:szCs w:val="48"/>
                    </w:rPr>
                    <w:fldChar w:fldCharType="begin"/>
                  </w:r>
                  <w:r w:rsidR="007A0B11">
                    <w:rPr>
                      <w:rFonts w:ascii="Tahoma" w:hAnsi="Tahoma" w:cs="Tahoma"/>
                      <w:b/>
                      <w:noProof/>
                      <w:sz w:val="52"/>
                      <w:szCs w:val="48"/>
                    </w:rPr>
                    <w:instrText xml:space="preserve"> MERGEFIELD NOME_DO_FUNDO </w:instrText>
                  </w:r>
                  <w:r>
                    <w:rPr>
                      <w:rFonts w:ascii="Tahoma" w:hAnsi="Tahoma" w:cs="Tahoma"/>
                      <w:b/>
                      <w:noProof/>
                      <w:sz w:val="52"/>
                      <w:szCs w:val="48"/>
                    </w:rPr>
                    <w:fldChar w:fldCharType="separate"/>
                  </w:r>
                  <w:r w:rsidR="004A232E" w:rsidRPr="00BC514D">
                    <w:rPr>
                      <w:rFonts w:ascii="Tahoma" w:hAnsi="Tahoma" w:cs="Tahoma"/>
                      <w:b/>
                      <w:noProof/>
                      <w:sz w:val="52"/>
                      <w:szCs w:val="48"/>
                    </w:rPr>
                    <w:t>REGIME PRÓPRIO DE PREVIDÊNCIA DO SERVIDOR DE ENTRE-IJUÍS</w:t>
                  </w:r>
                  <w:r>
                    <w:rPr>
                      <w:rFonts w:ascii="Tahoma" w:hAnsi="Tahoma" w:cs="Tahoma"/>
                      <w:b/>
                      <w:noProof/>
                      <w:sz w:val="52"/>
                      <w:szCs w:val="48"/>
                    </w:rPr>
                    <w:fldChar w:fldCharType="end"/>
                  </w:r>
                </w:p>
              </w:txbxContent>
            </v:textbox>
            <w10:wrap anchorx="margin"/>
          </v:shape>
        </w:pict>
      </w:r>
    </w:p>
    <w:p w:rsidR="00465C63" w:rsidRDefault="00465C63" w:rsidP="00A50E9C">
      <w:pPr>
        <w:spacing w:after="120"/>
        <w:ind w:left="2268"/>
        <w:jc w:val="both"/>
        <w:rPr>
          <w:rFonts w:ascii="Tahoma" w:hAnsi="Tahoma" w:cs="Tahoma"/>
        </w:rPr>
      </w:pPr>
    </w:p>
    <w:p w:rsidR="00465C63" w:rsidRDefault="00465C63" w:rsidP="00A50E9C">
      <w:pPr>
        <w:spacing w:after="120"/>
        <w:ind w:left="2268"/>
        <w:jc w:val="both"/>
        <w:rPr>
          <w:rFonts w:ascii="Tahoma" w:hAnsi="Tahoma" w:cs="Tahoma"/>
        </w:rPr>
      </w:pPr>
    </w:p>
    <w:p w:rsidR="00465C63" w:rsidRDefault="00465C63" w:rsidP="00A50E9C">
      <w:pPr>
        <w:spacing w:after="120"/>
        <w:ind w:left="2268"/>
        <w:jc w:val="both"/>
        <w:rPr>
          <w:rFonts w:ascii="Tahoma" w:hAnsi="Tahoma" w:cs="Tahoma"/>
        </w:rPr>
      </w:pPr>
    </w:p>
    <w:p w:rsidR="00465C63" w:rsidRDefault="00465C63" w:rsidP="00A50E9C">
      <w:pPr>
        <w:spacing w:after="120"/>
        <w:ind w:left="2268"/>
        <w:jc w:val="both"/>
        <w:rPr>
          <w:rFonts w:ascii="Tahoma" w:hAnsi="Tahoma" w:cs="Tahoma"/>
        </w:rPr>
      </w:pPr>
    </w:p>
    <w:p w:rsidR="00465C63" w:rsidRDefault="00465C63" w:rsidP="00A50E9C">
      <w:pPr>
        <w:spacing w:after="120"/>
        <w:ind w:left="2268"/>
        <w:jc w:val="both"/>
        <w:rPr>
          <w:rFonts w:ascii="Tahoma" w:hAnsi="Tahoma" w:cs="Tahoma"/>
        </w:rPr>
      </w:pPr>
    </w:p>
    <w:p w:rsidR="00465C63" w:rsidRDefault="00465C63" w:rsidP="00A50E9C">
      <w:pPr>
        <w:spacing w:after="120"/>
        <w:ind w:left="2268"/>
        <w:jc w:val="both"/>
        <w:rPr>
          <w:rFonts w:ascii="Tahoma" w:hAnsi="Tahoma" w:cs="Tahoma"/>
        </w:rPr>
      </w:pPr>
    </w:p>
    <w:p w:rsidR="00465C63" w:rsidRPr="00E8601E" w:rsidRDefault="00B25BB6" w:rsidP="00A50E9C">
      <w:pPr>
        <w:spacing w:after="120"/>
        <w:ind w:left="2268"/>
        <w:jc w:val="both"/>
        <w:rPr>
          <w:rFonts w:ascii="Tahoma" w:hAnsi="Tahoma" w:cs="Tahoma"/>
          <w:sz w:val="20"/>
        </w:rPr>
      </w:pPr>
      <w:r w:rsidRPr="00B25BB6">
        <w:rPr>
          <w:rFonts w:ascii="Tahoma" w:hAnsi="Tahoma" w:cs="Tahoma"/>
          <w:sz w:val="20"/>
        </w:rPr>
        <w:t xml:space="preserve">A elaboração desta </w:t>
      </w:r>
      <w:r w:rsidR="007A0B11">
        <w:rPr>
          <w:rFonts w:ascii="Tahoma" w:hAnsi="Tahoma" w:cs="Tahoma"/>
          <w:sz w:val="20"/>
        </w:rPr>
        <w:t>Política de Investimentos</w:t>
      </w:r>
      <w:r>
        <w:rPr>
          <w:rFonts w:ascii="Tahoma" w:hAnsi="Tahoma" w:cs="Tahoma"/>
          <w:sz w:val="20"/>
        </w:rPr>
        <w:t xml:space="preserve"> foi</w:t>
      </w:r>
      <w:r w:rsidRPr="00B25BB6">
        <w:rPr>
          <w:rFonts w:ascii="Tahoma" w:hAnsi="Tahoma" w:cs="Tahoma"/>
          <w:sz w:val="20"/>
        </w:rPr>
        <w:t xml:space="preserve"> conduzida pelo</w:t>
      </w:r>
      <w:r>
        <w:rPr>
          <w:rFonts w:ascii="Tahoma" w:hAnsi="Tahoma" w:cs="Tahoma"/>
          <w:sz w:val="20"/>
        </w:rPr>
        <w:t xml:space="preserve"> </w:t>
      </w:r>
      <w:r w:rsidRPr="00B25BB6">
        <w:rPr>
          <w:rFonts w:ascii="Tahoma" w:hAnsi="Tahoma" w:cs="Tahoma"/>
          <w:b/>
          <w:bCs/>
          <w:sz w:val="20"/>
        </w:rPr>
        <w:t>Gestor de Recursos</w:t>
      </w:r>
      <w:r>
        <w:rPr>
          <w:rFonts w:ascii="Tahoma" w:hAnsi="Tahoma" w:cs="Tahoma"/>
          <w:sz w:val="20"/>
        </w:rPr>
        <w:t xml:space="preserve"> e pelos membros do</w:t>
      </w:r>
      <w:r w:rsidRPr="00B25BB6">
        <w:rPr>
          <w:rFonts w:ascii="Tahoma" w:hAnsi="Tahoma" w:cs="Tahoma"/>
          <w:sz w:val="20"/>
        </w:rPr>
        <w:t xml:space="preserve"> </w:t>
      </w:r>
      <w:r w:rsidR="008F04AC">
        <w:rPr>
          <w:rFonts w:ascii="Tahoma" w:hAnsi="Tahoma" w:cs="Tahoma"/>
          <w:b/>
          <w:bCs/>
          <w:sz w:val="20"/>
        </w:rPr>
        <w:fldChar w:fldCharType="begin"/>
      </w:r>
      <w:r w:rsidR="00CA3FB6">
        <w:rPr>
          <w:rFonts w:ascii="Tahoma" w:hAnsi="Tahoma" w:cs="Tahoma"/>
          <w:b/>
          <w:bCs/>
          <w:sz w:val="20"/>
        </w:rPr>
        <w:instrText xml:space="preserve"> MERGEFIELD COMITÊ </w:instrText>
      </w:r>
      <w:r w:rsidR="008F04AC">
        <w:rPr>
          <w:rFonts w:ascii="Tahoma" w:hAnsi="Tahoma" w:cs="Tahoma"/>
          <w:b/>
          <w:bCs/>
          <w:sz w:val="20"/>
        </w:rPr>
        <w:fldChar w:fldCharType="separate"/>
      </w:r>
      <w:r w:rsidR="004A232E" w:rsidRPr="00BC514D">
        <w:rPr>
          <w:rFonts w:ascii="Tahoma" w:hAnsi="Tahoma" w:cs="Tahoma"/>
          <w:b/>
          <w:bCs/>
          <w:noProof/>
          <w:sz w:val="20"/>
        </w:rPr>
        <w:t>COMITÊ DE INVESTIMENTOS</w:t>
      </w:r>
      <w:r w:rsidR="008F04AC">
        <w:rPr>
          <w:rFonts w:ascii="Tahoma" w:hAnsi="Tahoma" w:cs="Tahoma"/>
          <w:b/>
          <w:bCs/>
          <w:sz w:val="20"/>
        </w:rPr>
        <w:fldChar w:fldCharType="end"/>
      </w:r>
      <w:r w:rsidRPr="00B25BB6">
        <w:rPr>
          <w:rFonts w:ascii="Tahoma" w:hAnsi="Tahoma" w:cs="Tahoma"/>
          <w:sz w:val="20"/>
        </w:rPr>
        <w:t xml:space="preserve"> deste RPPS, como órgão auxiliar no processo decisório quanto à execução da </w:t>
      </w:r>
      <w:r w:rsidR="007A0B11">
        <w:rPr>
          <w:rFonts w:ascii="Tahoma" w:hAnsi="Tahoma" w:cs="Tahoma"/>
          <w:sz w:val="20"/>
        </w:rPr>
        <w:t>Política de Investimentos</w:t>
      </w:r>
      <w:r w:rsidRPr="00B25BB6">
        <w:rPr>
          <w:rFonts w:ascii="Tahoma" w:hAnsi="Tahoma" w:cs="Tahoma"/>
          <w:sz w:val="20"/>
        </w:rPr>
        <w:t>, cujas decisões serão registradas em ata</w:t>
      </w:r>
      <w:r>
        <w:rPr>
          <w:rFonts w:ascii="Tahoma" w:hAnsi="Tahoma" w:cs="Tahoma"/>
          <w:sz w:val="20"/>
        </w:rPr>
        <w:t>. Ainda,</w:t>
      </w:r>
      <w:r w:rsidRPr="00B25BB6">
        <w:rPr>
          <w:rFonts w:ascii="Tahoma" w:hAnsi="Tahoma" w:cs="Tahoma"/>
          <w:sz w:val="20"/>
        </w:rPr>
        <w:t xml:space="preserve"> subscreve juntamente com o</w:t>
      </w:r>
      <w:r>
        <w:rPr>
          <w:rFonts w:ascii="Tahoma" w:hAnsi="Tahoma" w:cs="Tahoma"/>
          <w:sz w:val="20"/>
        </w:rPr>
        <w:t>s membros mencionados acima, o</w:t>
      </w:r>
      <w:r w:rsidRPr="00B25BB6">
        <w:rPr>
          <w:rFonts w:ascii="Tahoma" w:hAnsi="Tahoma" w:cs="Tahoma"/>
          <w:sz w:val="20"/>
        </w:rPr>
        <w:t xml:space="preserve"> </w:t>
      </w:r>
      <w:r w:rsidR="008F04AC">
        <w:rPr>
          <w:rFonts w:ascii="Tahoma" w:hAnsi="Tahoma" w:cs="Tahoma"/>
          <w:b/>
          <w:bCs/>
          <w:sz w:val="20"/>
        </w:rPr>
        <w:fldChar w:fldCharType="begin"/>
      </w:r>
      <w:r w:rsidR="00CA3FB6">
        <w:rPr>
          <w:rFonts w:ascii="Tahoma" w:hAnsi="Tahoma" w:cs="Tahoma"/>
          <w:b/>
          <w:bCs/>
          <w:sz w:val="20"/>
        </w:rPr>
        <w:instrText xml:space="preserve"> MERGEFIELD CONSELHO </w:instrText>
      </w:r>
      <w:r w:rsidR="008F04AC">
        <w:rPr>
          <w:rFonts w:ascii="Tahoma" w:hAnsi="Tahoma" w:cs="Tahoma"/>
          <w:b/>
          <w:bCs/>
          <w:sz w:val="20"/>
        </w:rPr>
        <w:fldChar w:fldCharType="separate"/>
      </w:r>
      <w:r w:rsidR="004A232E" w:rsidRPr="00BC514D">
        <w:rPr>
          <w:rFonts w:ascii="Tahoma" w:hAnsi="Tahoma" w:cs="Tahoma"/>
          <w:b/>
          <w:bCs/>
          <w:noProof/>
          <w:sz w:val="20"/>
        </w:rPr>
        <w:t>CONSELHO DO REGIME PRÓPRIO DE PREVIDÊNCIA DE ENTRE-IJUÍS</w:t>
      </w:r>
      <w:r w:rsidR="008F04AC">
        <w:rPr>
          <w:rFonts w:ascii="Tahoma" w:hAnsi="Tahoma" w:cs="Tahoma"/>
          <w:b/>
          <w:bCs/>
          <w:sz w:val="20"/>
        </w:rPr>
        <w:fldChar w:fldCharType="end"/>
      </w:r>
      <w:r w:rsidRPr="00B25BB6">
        <w:rPr>
          <w:rFonts w:ascii="Tahoma" w:hAnsi="Tahoma" w:cs="Tahoma"/>
          <w:sz w:val="20"/>
        </w:rPr>
        <w:t xml:space="preserve"> que terá o papel decisório</w:t>
      </w:r>
      <w:r w:rsidR="0095399B">
        <w:rPr>
          <w:rFonts w:ascii="Tahoma" w:hAnsi="Tahoma" w:cs="Tahoma"/>
          <w:sz w:val="20"/>
        </w:rPr>
        <w:t>,</w:t>
      </w:r>
      <w:r w:rsidRPr="00B25BB6">
        <w:rPr>
          <w:rFonts w:ascii="Tahoma" w:hAnsi="Tahoma" w:cs="Tahoma"/>
          <w:sz w:val="20"/>
        </w:rPr>
        <w:t xml:space="preserve"> </w:t>
      </w:r>
      <w:r w:rsidR="00E16EDA">
        <w:rPr>
          <w:rFonts w:ascii="Tahoma" w:hAnsi="Tahoma" w:cs="Tahoma"/>
          <w:sz w:val="20"/>
        </w:rPr>
        <w:t xml:space="preserve">conforme </w:t>
      </w:r>
      <w:r w:rsidR="00E16EDA" w:rsidRPr="007930C5">
        <w:rPr>
          <w:rFonts w:ascii="Tahoma" w:hAnsi="Tahoma" w:cs="Tahoma"/>
          <w:b/>
          <w:bCs/>
          <w:sz w:val="20"/>
        </w:rPr>
        <w:t xml:space="preserve">Art. 101 da Portaria MTP </w:t>
      </w:r>
      <w:r w:rsidR="007930C5" w:rsidRPr="007930C5">
        <w:rPr>
          <w:rFonts w:ascii="Tahoma" w:hAnsi="Tahoma" w:cs="Tahoma"/>
          <w:b/>
          <w:bCs/>
          <w:sz w:val="20"/>
        </w:rPr>
        <w:t>n°</w:t>
      </w:r>
      <w:r w:rsidR="007930C5">
        <w:rPr>
          <w:rFonts w:ascii="Tahoma" w:hAnsi="Tahoma" w:cs="Tahoma"/>
          <w:b/>
          <w:bCs/>
          <w:sz w:val="20"/>
        </w:rPr>
        <w:t xml:space="preserve"> </w:t>
      </w:r>
      <w:r w:rsidR="00E16EDA" w:rsidRPr="007930C5">
        <w:rPr>
          <w:rFonts w:ascii="Tahoma" w:hAnsi="Tahoma" w:cs="Tahoma"/>
          <w:b/>
          <w:bCs/>
          <w:sz w:val="20"/>
        </w:rPr>
        <w:t>1</w:t>
      </w:r>
      <w:r w:rsidR="007930C5">
        <w:rPr>
          <w:rFonts w:ascii="Tahoma" w:hAnsi="Tahoma" w:cs="Tahoma"/>
          <w:b/>
          <w:bCs/>
          <w:sz w:val="20"/>
        </w:rPr>
        <w:t>.</w:t>
      </w:r>
      <w:r w:rsidR="00E16EDA" w:rsidRPr="007930C5">
        <w:rPr>
          <w:rFonts w:ascii="Tahoma" w:hAnsi="Tahoma" w:cs="Tahoma"/>
          <w:b/>
          <w:bCs/>
          <w:sz w:val="20"/>
        </w:rPr>
        <w:t>467/2022</w:t>
      </w:r>
      <w:r w:rsidR="0095399B" w:rsidRPr="0095399B">
        <w:rPr>
          <w:rFonts w:ascii="Tahoma" w:hAnsi="Tahoma" w:cs="Tahoma"/>
          <w:sz w:val="20"/>
        </w:rPr>
        <w:t>,</w:t>
      </w:r>
      <w:r w:rsidR="00E16EDA">
        <w:rPr>
          <w:rFonts w:ascii="Tahoma" w:hAnsi="Tahoma" w:cs="Tahoma"/>
          <w:sz w:val="20"/>
        </w:rPr>
        <w:t xml:space="preserve"> </w:t>
      </w:r>
      <w:r w:rsidRPr="00B25BB6">
        <w:rPr>
          <w:rFonts w:ascii="Tahoma" w:hAnsi="Tahoma" w:cs="Tahoma"/>
          <w:sz w:val="20"/>
        </w:rPr>
        <w:t>sobre a aplicação das decisões aqui estabelecidas, devendo, também, registrar em ata a sua aprovação</w:t>
      </w:r>
      <w:r w:rsidR="00465C63" w:rsidRPr="00E8601E">
        <w:rPr>
          <w:rFonts w:ascii="Tahoma" w:hAnsi="Tahoma" w:cs="Tahoma"/>
          <w:b/>
          <w:sz w:val="20"/>
        </w:rPr>
        <w:t>.</w:t>
      </w:r>
    </w:p>
    <w:p w:rsidR="00465C63" w:rsidRPr="00E8601E" w:rsidRDefault="00465C63" w:rsidP="00A50E9C">
      <w:pPr>
        <w:spacing w:after="120"/>
        <w:jc w:val="both"/>
        <w:rPr>
          <w:rFonts w:ascii="Tahoma" w:hAnsi="Tahoma" w:cs="Tahoma"/>
          <w:sz w:val="20"/>
        </w:rPr>
      </w:pPr>
    </w:p>
    <w:p w:rsidR="00465C63" w:rsidRPr="00E8601E" w:rsidRDefault="00465C63" w:rsidP="00A50E9C">
      <w:pPr>
        <w:spacing w:after="120"/>
        <w:jc w:val="both"/>
        <w:rPr>
          <w:rFonts w:ascii="Tahoma" w:hAnsi="Tahoma" w:cs="Tahoma"/>
          <w:sz w:val="20"/>
        </w:rPr>
      </w:pPr>
    </w:p>
    <w:p w:rsidR="00465C63" w:rsidRPr="00E8601E" w:rsidRDefault="00465C63" w:rsidP="00A50E9C">
      <w:pPr>
        <w:spacing w:after="120"/>
        <w:rPr>
          <w:rFonts w:ascii="Tahoma" w:hAnsi="Tahoma" w:cs="Tahoma"/>
          <w:sz w:val="20"/>
        </w:rPr>
      </w:pPr>
    </w:p>
    <w:p w:rsidR="00465C63" w:rsidRPr="008E3953" w:rsidRDefault="008F04AC" w:rsidP="00A50E9C">
      <w:pPr>
        <w:spacing w:after="120"/>
        <w:rPr>
          <w:rFonts w:ascii="Tahoma" w:hAnsi="Tahoma" w:cs="Tahoma"/>
          <w:b/>
          <w:sz w:val="20"/>
          <w:szCs w:val="20"/>
        </w:rPr>
      </w:pPr>
      <w:r>
        <w:rPr>
          <w:rFonts w:ascii="Tahoma" w:hAnsi="Tahoma" w:cs="Tahoma"/>
          <w:b/>
          <w:noProof/>
          <w:sz w:val="20"/>
          <w:szCs w:val="20"/>
        </w:rPr>
        <w:fldChar w:fldCharType="begin"/>
      </w:r>
      <w:r w:rsidR="00BC7F77">
        <w:rPr>
          <w:rFonts w:ascii="Tahoma" w:hAnsi="Tahoma" w:cs="Tahoma"/>
          <w:b/>
          <w:noProof/>
          <w:sz w:val="20"/>
          <w:szCs w:val="20"/>
        </w:rPr>
        <w:instrText xml:space="preserve"> MERGEFIELD NOME_DO_FUNDO </w:instrText>
      </w:r>
      <w:r>
        <w:rPr>
          <w:rFonts w:ascii="Tahoma" w:hAnsi="Tahoma" w:cs="Tahoma"/>
          <w:b/>
          <w:noProof/>
          <w:sz w:val="20"/>
          <w:szCs w:val="20"/>
        </w:rPr>
        <w:fldChar w:fldCharType="separate"/>
      </w:r>
      <w:r w:rsidR="004A232E" w:rsidRPr="00BC514D">
        <w:rPr>
          <w:rFonts w:ascii="Tahoma" w:hAnsi="Tahoma" w:cs="Tahoma"/>
          <w:b/>
          <w:noProof/>
          <w:sz w:val="20"/>
          <w:szCs w:val="20"/>
        </w:rPr>
        <w:t>REGIME PRÓPRIO DE PREVIDÊNCIA DO SERVIDOR DE ENTRE-IJUÍS</w:t>
      </w:r>
      <w:r>
        <w:rPr>
          <w:rFonts w:ascii="Tahoma" w:hAnsi="Tahoma" w:cs="Tahoma"/>
          <w:b/>
          <w:noProof/>
          <w:sz w:val="20"/>
          <w:szCs w:val="20"/>
        </w:rPr>
        <w:fldChar w:fldCharType="end"/>
      </w:r>
    </w:p>
    <w:p w:rsidR="00465C63" w:rsidRPr="008E3953" w:rsidRDefault="00465C63" w:rsidP="00A50E9C">
      <w:pPr>
        <w:spacing w:after="120"/>
        <w:rPr>
          <w:rFonts w:ascii="Tahoma" w:hAnsi="Tahoma" w:cs="Tahoma"/>
          <w:sz w:val="20"/>
          <w:szCs w:val="20"/>
        </w:rPr>
      </w:pPr>
      <w:r w:rsidRPr="008E3953">
        <w:rPr>
          <w:rFonts w:ascii="Tahoma" w:hAnsi="Tahoma" w:cs="Tahoma"/>
          <w:sz w:val="20"/>
          <w:szCs w:val="20"/>
        </w:rPr>
        <w:t xml:space="preserve">CNPJ: </w:t>
      </w:r>
      <w:r w:rsidR="008F04AC">
        <w:rPr>
          <w:rFonts w:ascii="Tahoma" w:hAnsi="Tahoma" w:cs="Tahoma"/>
          <w:noProof/>
          <w:sz w:val="20"/>
          <w:szCs w:val="20"/>
        </w:rPr>
        <w:fldChar w:fldCharType="begin"/>
      </w:r>
      <w:r w:rsidR="00BC7F77">
        <w:rPr>
          <w:rFonts w:ascii="Tahoma" w:hAnsi="Tahoma" w:cs="Tahoma"/>
          <w:noProof/>
          <w:sz w:val="20"/>
          <w:szCs w:val="20"/>
        </w:rPr>
        <w:instrText xml:space="preserve"> MERGEFIELD CNPJ </w:instrText>
      </w:r>
      <w:r w:rsidR="008F04AC">
        <w:rPr>
          <w:rFonts w:ascii="Tahoma" w:hAnsi="Tahoma" w:cs="Tahoma"/>
          <w:noProof/>
          <w:sz w:val="20"/>
          <w:szCs w:val="20"/>
        </w:rPr>
        <w:fldChar w:fldCharType="separate"/>
      </w:r>
      <w:r w:rsidR="004A232E" w:rsidRPr="00BC514D">
        <w:rPr>
          <w:rFonts w:ascii="Tahoma" w:hAnsi="Tahoma" w:cs="Tahoma"/>
          <w:noProof/>
          <w:sz w:val="20"/>
          <w:szCs w:val="20"/>
        </w:rPr>
        <w:t>10.505.217/0001-07</w:t>
      </w:r>
      <w:r w:rsidR="008F04AC">
        <w:rPr>
          <w:rFonts w:ascii="Tahoma" w:hAnsi="Tahoma" w:cs="Tahoma"/>
          <w:noProof/>
          <w:sz w:val="20"/>
          <w:szCs w:val="20"/>
        </w:rPr>
        <w:fldChar w:fldCharType="end"/>
      </w:r>
    </w:p>
    <w:p w:rsidR="00465C63" w:rsidRDefault="008F04AC" w:rsidP="00A50E9C">
      <w:pPr>
        <w:spacing w:after="120"/>
        <w:rPr>
          <w:rFonts w:ascii="Tahoma" w:hAnsi="Tahoma" w:cs="Tahoma"/>
          <w:noProof/>
          <w:sz w:val="20"/>
          <w:szCs w:val="20"/>
        </w:rPr>
      </w:pPr>
      <w:r>
        <w:rPr>
          <w:rFonts w:ascii="Tahoma" w:hAnsi="Tahoma" w:cs="Tahoma"/>
          <w:noProof/>
          <w:sz w:val="20"/>
          <w:szCs w:val="20"/>
        </w:rPr>
        <w:fldChar w:fldCharType="begin"/>
      </w:r>
      <w:r w:rsidR="00BC7F77">
        <w:rPr>
          <w:rFonts w:ascii="Tahoma" w:hAnsi="Tahoma" w:cs="Tahoma"/>
          <w:noProof/>
          <w:sz w:val="20"/>
          <w:szCs w:val="20"/>
        </w:rPr>
        <w:instrText xml:space="preserve"> MERGEFIELD ENDEREÇO </w:instrText>
      </w:r>
      <w:r>
        <w:rPr>
          <w:rFonts w:ascii="Tahoma" w:hAnsi="Tahoma" w:cs="Tahoma"/>
          <w:noProof/>
          <w:sz w:val="20"/>
          <w:szCs w:val="20"/>
        </w:rPr>
        <w:fldChar w:fldCharType="separate"/>
      </w:r>
      <w:r w:rsidR="004A232E" w:rsidRPr="00BC514D">
        <w:rPr>
          <w:rFonts w:ascii="Tahoma" w:hAnsi="Tahoma" w:cs="Tahoma"/>
          <w:noProof/>
          <w:sz w:val="20"/>
          <w:szCs w:val="20"/>
        </w:rPr>
        <w:t>Rua Francisco Richter, nº 601 – Centro – Entre-Ijuís</w:t>
      </w:r>
      <w:r>
        <w:rPr>
          <w:rFonts w:ascii="Tahoma" w:hAnsi="Tahoma" w:cs="Tahoma"/>
          <w:noProof/>
          <w:sz w:val="20"/>
          <w:szCs w:val="20"/>
        </w:rPr>
        <w:fldChar w:fldCharType="end"/>
      </w:r>
    </w:p>
    <w:p w:rsidR="00BC7F77" w:rsidRPr="008E3953" w:rsidRDefault="008F04AC" w:rsidP="00A50E9C">
      <w:pPr>
        <w:spacing w:after="120"/>
        <w:rPr>
          <w:rFonts w:ascii="Tahoma" w:hAnsi="Tahoma" w:cs="Tahoma"/>
          <w:sz w:val="20"/>
          <w:szCs w:val="20"/>
        </w:rPr>
      </w:pPr>
      <w:r>
        <w:rPr>
          <w:rFonts w:ascii="Tahoma" w:hAnsi="Tahoma" w:cs="Tahoma"/>
          <w:noProof/>
          <w:sz w:val="20"/>
          <w:szCs w:val="20"/>
        </w:rPr>
        <w:fldChar w:fldCharType="begin"/>
      </w:r>
      <w:r w:rsidR="00BC7F77">
        <w:rPr>
          <w:rFonts w:ascii="Tahoma" w:hAnsi="Tahoma" w:cs="Tahoma"/>
          <w:noProof/>
          <w:sz w:val="20"/>
          <w:szCs w:val="20"/>
        </w:rPr>
        <w:instrText xml:space="preserve"> MERGEFIELD CEP </w:instrText>
      </w:r>
      <w:r>
        <w:rPr>
          <w:rFonts w:ascii="Tahoma" w:hAnsi="Tahoma" w:cs="Tahoma"/>
          <w:noProof/>
          <w:sz w:val="20"/>
          <w:szCs w:val="20"/>
        </w:rPr>
        <w:fldChar w:fldCharType="separate"/>
      </w:r>
      <w:r w:rsidR="004A232E" w:rsidRPr="00BC514D">
        <w:rPr>
          <w:rFonts w:ascii="Tahoma" w:hAnsi="Tahoma" w:cs="Tahoma"/>
          <w:noProof/>
          <w:sz w:val="20"/>
          <w:szCs w:val="20"/>
        </w:rPr>
        <w:t>CEP: 98855-000</w:t>
      </w:r>
      <w:r>
        <w:rPr>
          <w:rFonts w:ascii="Tahoma" w:hAnsi="Tahoma" w:cs="Tahoma"/>
          <w:noProof/>
          <w:sz w:val="20"/>
          <w:szCs w:val="20"/>
        </w:rPr>
        <w:fldChar w:fldCharType="end"/>
      </w:r>
    </w:p>
    <w:p w:rsidR="00465C63" w:rsidRPr="008E3953" w:rsidRDefault="008F04AC" w:rsidP="00A50E9C">
      <w:pPr>
        <w:spacing w:after="120"/>
        <w:rPr>
          <w:rFonts w:ascii="Tahoma" w:hAnsi="Tahoma" w:cs="Tahoma"/>
          <w:sz w:val="20"/>
          <w:szCs w:val="20"/>
        </w:rPr>
      </w:pPr>
      <w:r>
        <w:rPr>
          <w:rFonts w:ascii="Tahoma" w:hAnsi="Tahoma" w:cs="Tahoma"/>
          <w:noProof/>
          <w:sz w:val="20"/>
          <w:szCs w:val="20"/>
        </w:rPr>
        <w:fldChar w:fldCharType="begin"/>
      </w:r>
      <w:r w:rsidR="00BC7F77">
        <w:rPr>
          <w:rFonts w:ascii="Tahoma" w:hAnsi="Tahoma" w:cs="Tahoma"/>
          <w:noProof/>
          <w:sz w:val="20"/>
          <w:szCs w:val="20"/>
        </w:rPr>
        <w:instrText xml:space="preserve"> MERGEFIELD UF </w:instrText>
      </w:r>
      <w:r>
        <w:rPr>
          <w:rFonts w:ascii="Tahoma" w:hAnsi="Tahoma" w:cs="Tahoma"/>
          <w:noProof/>
          <w:sz w:val="20"/>
          <w:szCs w:val="20"/>
        </w:rPr>
        <w:fldChar w:fldCharType="separate"/>
      </w:r>
      <w:r w:rsidR="004A232E" w:rsidRPr="00BC514D">
        <w:rPr>
          <w:rFonts w:ascii="Tahoma" w:hAnsi="Tahoma" w:cs="Tahoma"/>
          <w:noProof/>
          <w:sz w:val="20"/>
          <w:szCs w:val="20"/>
        </w:rPr>
        <w:t>RIO GRANDE DO SUL</w:t>
      </w:r>
      <w:r>
        <w:rPr>
          <w:rFonts w:ascii="Tahoma" w:hAnsi="Tahoma" w:cs="Tahoma"/>
          <w:noProof/>
          <w:sz w:val="20"/>
          <w:szCs w:val="20"/>
        </w:rPr>
        <w:fldChar w:fldCharType="end"/>
      </w:r>
    </w:p>
    <w:p w:rsidR="00465C63" w:rsidRPr="008E3953" w:rsidRDefault="008F04AC" w:rsidP="00A50E9C">
      <w:pPr>
        <w:tabs>
          <w:tab w:val="left" w:pos="3390"/>
        </w:tabs>
        <w:spacing w:after="120"/>
        <w:rPr>
          <w:rFonts w:ascii="Tahoma" w:hAnsi="Tahoma" w:cs="Tahoma"/>
          <w:sz w:val="20"/>
          <w:szCs w:val="20"/>
        </w:rPr>
      </w:pPr>
      <w:r>
        <w:rPr>
          <w:rFonts w:ascii="Tahoma" w:hAnsi="Tahoma" w:cs="Tahoma"/>
          <w:noProof/>
          <w:sz w:val="20"/>
          <w:szCs w:val="20"/>
        </w:rPr>
        <w:fldChar w:fldCharType="begin"/>
      </w:r>
      <w:r w:rsidR="00BC7F77">
        <w:rPr>
          <w:rFonts w:ascii="Tahoma" w:hAnsi="Tahoma" w:cs="Tahoma"/>
          <w:noProof/>
          <w:sz w:val="20"/>
          <w:szCs w:val="20"/>
        </w:rPr>
        <w:instrText xml:space="preserve"> MERGEFIELD TELEFONE </w:instrText>
      </w:r>
      <w:r>
        <w:rPr>
          <w:rFonts w:ascii="Tahoma" w:hAnsi="Tahoma" w:cs="Tahoma"/>
          <w:noProof/>
          <w:sz w:val="20"/>
          <w:szCs w:val="20"/>
        </w:rPr>
        <w:fldChar w:fldCharType="separate"/>
      </w:r>
      <w:r w:rsidR="004A232E" w:rsidRPr="00BC514D">
        <w:rPr>
          <w:rFonts w:ascii="Tahoma" w:hAnsi="Tahoma" w:cs="Tahoma"/>
          <w:noProof/>
          <w:sz w:val="20"/>
          <w:szCs w:val="20"/>
        </w:rPr>
        <w:t>(55)3329-1155</w:t>
      </w:r>
      <w:r>
        <w:rPr>
          <w:rFonts w:ascii="Tahoma" w:hAnsi="Tahoma" w:cs="Tahoma"/>
          <w:noProof/>
          <w:sz w:val="20"/>
          <w:szCs w:val="20"/>
        </w:rPr>
        <w:fldChar w:fldCharType="end"/>
      </w:r>
      <w:r w:rsidR="00465C63">
        <w:rPr>
          <w:rFonts w:ascii="Tahoma" w:hAnsi="Tahoma" w:cs="Tahoma"/>
          <w:sz w:val="20"/>
          <w:szCs w:val="20"/>
        </w:rPr>
        <w:tab/>
      </w:r>
    </w:p>
    <w:p w:rsidR="000F7FA7" w:rsidRDefault="008F04AC" w:rsidP="00A50E9C">
      <w:pPr>
        <w:spacing w:after="120"/>
        <w:rPr>
          <w:noProof/>
        </w:rPr>
      </w:pPr>
      <w:r>
        <w:rPr>
          <w:noProof/>
        </w:rPr>
        <w:fldChar w:fldCharType="begin"/>
      </w:r>
      <w:r w:rsidR="00BC7F77">
        <w:rPr>
          <w:noProof/>
        </w:rPr>
        <w:instrText xml:space="preserve"> MERGEFIELD EMAIL_ </w:instrText>
      </w:r>
      <w:r>
        <w:rPr>
          <w:noProof/>
        </w:rPr>
        <w:fldChar w:fldCharType="separate"/>
      </w:r>
      <w:r w:rsidR="004A232E">
        <w:rPr>
          <w:noProof/>
        </w:rPr>
        <w:t>rpps@pmei.rs.gov.br</w:t>
      </w:r>
      <w:r>
        <w:rPr>
          <w:noProof/>
        </w:rPr>
        <w:fldChar w:fldCharType="end"/>
      </w:r>
    </w:p>
    <w:p w:rsidR="000F7FA7" w:rsidRDefault="000F7FA7">
      <w:pPr>
        <w:rPr>
          <w:noProof/>
        </w:rPr>
      </w:pPr>
      <w:r>
        <w:rPr>
          <w:noProof/>
        </w:rPr>
        <w:br w:type="page"/>
      </w:r>
    </w:p>
    <w:sdt>
      <w:sdtPr>
        <w:rPr>
          <w:rFonts w:asciiTheme="minorHAnsi" w:eastAsiaTheme="minorEastAsia" w:hAnsiTheme="minorHAnsi" w:cstheme="minorBidi"/>
          <w:color w:val="auto"/>
          <w:sz w:val="22"/>
          <w:szCs w:val="22"/>
        </w:rPr>
        <w:id w:val="-116059882"/>
        <w:docPartObj>
          <w:docPartGallery w:val="Table of Contents"/>
          <w:docPartUnique/>
        </w:docPartObj>
      </w:sdtPr>
      <w:sdtEndPr>
        <w:rPr>
          <w:b/>
          <w:bCs/>
        </w:rPr>
      </w:sdtEndPr>
      <w:sdtContent>
        <w:p w:rsidR="000C021C" w:rsidRDefault="000C021C">
          <w:pPr>
            <w:pStyle w:val="CabealhodoSumrio"/>
          </w:pPr>
          <w:r w:rsidRPr="000C021C">
            <w:rPr>
              <w:b/>
              <w:bCs/>
              <w:color w:val="002060"/>
            </w:rPr>
            <w:t>Sumário</w:t>
          </w:r>
        </w:p>
        <w:p w:rsidR="00C8052C" w:rsidRDefault="008F04AC">
          <w:pPr>
            <w:pStyle w:val="Sumrio1"/>
            <w:tabs>
              <w:tab w:val="right" w:leader="dot" w:pos="9061"/>
            </w:tabs>
            <w:rPr>
              <w:b w:val="0"/>
              <w:bCs w:val="0"/>
              <w:caps w:val="0"/>
              <w:noProof/>
              <w:kern w:val="2"/>
              <w:sz w:val="22"/>
              <w:szCs w:val="22"/>
            </w:rPr>
          </w:pPr>
          <w:r w:rsidRPr="008F04AC">
            <w:fldChar w:fldCharType="begin"/>
          </w:r>
          <w:r w:rsidR="000C021C">
            <w:instrText xml:space="preserve"> TOC \o "1-3" \h \z \u </w:instrText>
          </w:r>
          <w:r w:rsidRPr="008F04AC">
            <w:fldChar w:fldCharType="separate"/>
          </w:r>
          <w:hyperlink w:anchor="_Toc181778150" w:history="1">
            <w:r w:rsidR="00C8052C" w:rsidRPr="00E4782B">
              <w:rPr>
                <w:noProof/>
              </w:rPr>
              <w:object w:dxaOrig="2425" w:dyaOrig="2598">
                <v:shape id="_x0000_i1027" type="#_x0000_t75" style="width:9.4pt;height:8.15pt" o:ole="">
                  <v:imagedata r:id="rId8" o:title=""/>
                </v:shape>
                <o:OLEObject Type="Embed" ProgID="CorelDRAW.Graphic.13" ShapeID="_x0000_i1027" DrawAspect="Content" ObjectID="_1792498563" r:id="rId12"/>
              </w:object>
            </w:r>
            <w:r w:rsidR="00C8052C" w:rsidRPr="000031A1">
              <w:rPr>
                <w:rStyle w:val="Hyperlink"/>
                <w:noProof/>
              </w:rPr>
              <w:t xml:space="preserve"> </w:t>
            </w:r>
            <w:r w:rsidR="00C8052C" w:rsidRPr="000031A1">
              <w:rPr>
                <w:rStyle w:val="Hyperlink"/>
                <w:rFonts w:ascii="Tahoma" w:hAnsi="Tahoma" w:cs="Tahoma"/>
                <w:noProof/>
              </w:rPr>
              <w:t xml:space="preserve">APRESENTAÇÃO </w:t>
            </w:r>
            <w:r w:rsidR="00C8052C" w:rsidRPr="00E4782B">
              <w:rPr>
                <w:noProof/>
              </w:rPr>
              <w:object w:dxaOrig="3163" w:dyaOrig="3187">
                <v:shape id="_x0000_i1028" type="#_x0000_t75" style="width:21.9pt;height:23.15pt" o:ole="">
                  <v:imagedata r:id="rId10" o:title=""/>
                </v:shape>
                <o:OLEObject Type="Embed" ProgID="CorelDRAW.Graphic.13" ShapeID="_x0000_i1028" DrawAspect="Content" ObjectID="_1792498564" r:id="rId13"/>
              </w:object>
            </w:r>
            <w:r w:rsidR="00C8052C">
              <w:rPr>
                <w:noProof/>
                <w:webHidden/>
              </w:rPr>
              <w:tab/>
            </w:r>
            <w:r>
              <w:rPr>
                <w:noProof/>
                <w:webHidden/>
              </w:rPr>
              <w:fldChar w:fldCharType="begin"/>
            </w:r>
            <w:r w:rsidR="00C8052C">
              <w:rPr>
                <w:noProof/>
                <w:webHidden/>
              </w:rPr>
              <w:instrText xml:space="preserve"> PAGEREF _Toc181778150 \h </w:instrText>
            </w:r>
            <w:r>
              <w:rPr>
                <w:noProof/>
                <w:webHidden/>
              </w:rPr>
            </w:r>
            <w:r>
              <w:rPr>
                <w:noProof/>
                <w:webHidden/>
              </w:rPr>
              <w:fldChar w:fldCharType="separate"/>
            </w:r>
            <w:r w:rsidR="00C8052C">
              <w:rPr>
                <w:noProof/>
                <w:webHidden/>
              </w:rPr>
              <w:t>5</w:t>
            </w:r>
            <w:r>
              <w:rPr>
                <w:noProof/>
                <w:webHidden/>
              </w:rPr>
              <w:fldChar w:fldCharType="end"/>
            </w:r>
          </w:hyperlink>
        </w:p>
        <w:p w:rsidR="00C8052C" w:rsidRDefault="008F04AC">
          <w:pPr>
            <w:pStyle w:val="Sumrio2"/>
            <w:rPr>
              <w:rFonts w:asciiTheme="minorHAnsi" w:hAnsiTheme="minorHAnsi" w:cstheme="minorBidi"/>
              <w:smallCaps w:val="0"/>
              <w:kern w:val="2"/>
              <w:sz w:val="22"/>
              <w:szCs w:val="22"/>
            </w:rPr>
          </w:pPr>
          <w:hyperlink w:anchor="_Toc181778151" w:history="1">
            <w:r w:rsidR="00C8052C" w:rsidRPr="000031A1">
              <w:rPr>
                <w:rStyle w:val="Hyperlink"/>
              </w:rPr>
              <w:t>Do Objeto</w:t>
            </w:r>
            <w:r w:rsidR="00C8052C">
              <w:rPr>
                <w:webHidden/>
              </w:rPr>
              <w:tab/>
            </w:r>
            <w:r>
              <w:rPr>
                <w:webHidden/>
              </w:rPr>
              <w:fldChar w:fldCharType="begin"/>
            </w:r>
            <w:r w:rsidR="00C8052C">
              <w:rPr>
                <w:webHidden/>
              </w:rPr>
              <w:instrText xml:space="preserve"> PAGEREF _Toc181778151 \h </w:instrText>
            </w:r>
            <w:r>
              <w:rPr>
                <w:webHidden/>
              </w:rPr>
            </w:r>
            <w:r>
              <w:rPr>
                <w:webHidden/>
              </w:rPr>
              <w:fldChar w:fldCharType="separate"/>
            </w:r>
            <w:r w:rsidR="00C8052C">
              <w:rPr>
                <w:webHidden/>
              </w:rPr>
              <w:t>5</w:t>
            </w:r>
            <w:r>
              <w:rPr>
                <w:webHidden/>
              </w:rPr>
              <w:fldChar w:fldCharType="end"/>
            </w:r>
          </w:hyperlink>
        </w:p>
        <w:p w:rsidR="00C8052C" w:rsidRDefault="008F04AC">
          <w:pPr>
            <w:pStyle w:val="Sumrio2"/>
            <w:rPr>
              <w:rFonts w:asciiTheme="minorHAnsi" w:hAnsiTheme="minorHAnsi" w:cstheme="minorBidi"/>
              <w:smallCaps w:val="0"/>
              <w:kern w:val="2"/>
              <w:sz w:val="22"/>
              <w:szCs w:val="22"/>
            </w:rPr>
          </w:pPr>
          <w:hyperlink w:anchor="_Toc181778152" w:history="1">
            <w:r w:rsidR="00C8052C" w:rsidRPr="000031A1">
              <w:rPr>
                <w:rStyle w:val="Hyperlink"/>
              </w:rPr>
              <w:t>Da Administração</w:t>
            </w:r>
            <w:r w:rsidR="00C8052C">
              <w:rPr>
                <w:webHidden/>
              </w:rPr>
              <w:tab/>
            </w:r>
            <w:r>
              <w:rPr>
                <w:webHidden/>
              </w:rPr>
              <w:fldChar w:fldCharType="begin"/>
            </w:r>
            <w:r w:rsidR="00C8052C">
              <w:rPr>
                <w:webHidden/>
              </w:rPr>
              <w:instrText xml:space="preserve"> PAGEREF _Toc181778152 \h </w:instrText>
            </w:r>
            <w:r>
              <w:rPr>
                <w:webHidden/>
              </w:rPr>
            </w:r>
            <w:r>
              <w:rPr>
                <w:webHidden/>
              </w:rPr>
              <w:fldChar w:fldCharType="separate"/>
            </w:r>
            <w:r w:rsidR="00C8052C">
              <w:rPr>
                <w:webHidden/>
              </w:rPr>
              <w:t>5</w:t>
            </w:r>
            <w:r>
              <w:rPr>
                <w:webHidden/>
              </w:rPr>
              <w:fldChar w:fldCharType="end"/>
            </w:r>
          </w:hyperlink>
        </w:p>
        <w:p w:rsidR="00C8052C" w:rsidRDefault="008F04AC">
          <w:pPr>
            <w:pStyle w:val="Sumrio2"/>
            <w:rPr>
              <w:rFonts w:asciiTheme="minorHAnsi" w:hAnsiTheme="minorHAnsi" w:cstheme="minorBidi"/>
              <w:smallCaps w:val="0"/>
              <w:kern w:val="2"/>
              <w:sz w:val="22"/>
              <w:szCs w:val="22"/>
            </w:rPr>
          </w:pPr>
          <w:hyperlink w:anchor="_Toc181778153" w:history="1">
            <w:r w:rsidR="00C8052C" w:rsidRPr="000031A1">
              <w:rPr>
                <w:rStyle w:val="Hyperlink"/>
              </w:rPr>
              <w:t>Da Organização do Documento</w:t>
            </w:r>
            <w:r w:rsidR="00C8052C">
              <w:rPr>
                <w:webHidden/>
              </w:rPr>
              <w:tab/>
            </w:r>
            <w:r>
              <w:rPr>
                <w:webHidden/>
              </w:rPr>
              <w:fldChar w:fldCharType="begin"/>
            </w:r>
            <w:r w:rsidR="00C8052C">
              <w:rPr>
                <w:webHidden/>
              </w:rPr>
              <w:instrText xml:space="preserve"> PAGEREF _Toc181778153 \h </w:instrText>
            </w:r>
            <w:r>
              <w:rPr>
                <w:webHidden/>
              </w:rPr>
            </w:r>
            <w:r>
              <w:rPr>
                <w:webHidden/>
              </w:rPr>
              <w:fldChar w:fldCharType="separate"/>
            </w:r>
            <w:r w:rsidR="00C8052C">
              <w:rPr>
                <w:webHidden/>
              </w:rPr>
              <w:t>5</w:t>
            </w:r>
            <w:r>
              <w:rPr>
                <w:webHidden/>
              </w:rPr>
              <w:fldChar w:fldCharType="end"/>
            </w:r>
          </w:hyperlink>
        </w:p>
        <w:p w:rsidR="00C8052C" w:rsidRDefault="008F04AC">
          <w:pPr>
            <w:pStyle w:val="Sumrio1"/>
            <w:tabs>
              <w:tab w:val="right" w:leader="dot" w:pos="9061"/>
            </w:tabs>
            <w:rPr>
              <w:b w:val="0"/>
              <w:bCs w:val="0"/>
              <w:caps w:val="0"/>
              <w:noProof/>
              <w:kern w:val="2"/>
              <w:sz w:val="22"/>
              <w:szCs w:val="22"/>
            </w:rPr>
          </w:pPr>
          <w:hyperlink w:anchor="_Toc181778154" w:history="1">
            <w:r w:rsidR="00C8052C" w:rsidRPr="00E4782B">
              <w:rPr>
                <w:noProof/>
              </w:rPr>
              <w:object w:dxaOrig="2425" w:dyaOrig="2598">
                <v:shape id="_x0000_i1029" type="#_x0000_t75" style="width:9.4pt;height:8.15pt" o:ole="">
                  <v:imagedata r:id="rId8" o:title=""/>
                </v:shape>
                <o:OLEObject Type="Embed" ProgID="CorelDRAW.Graphic.13" ShapeID="_x0000_i1029" DrawAspect="Content" ObjectID="_1792498565" r:id="rId14"/>
              </w:object>
            </w:r>
            <w:r w:rsidR="00C8052C" w:rsidRPr="000031A1">
              <w:rPr>
                <w:rStyle w:val="Hyperlink"/>
                <w:noProof/>
              </w:rPr>
              <w:t xml:space="preserve">VIGÊNCIA E OBJETIVOS DA POLÍTICA DE INVESTIMENTOS 2025 </w:t>
            </w:r>
            <w:r w:rsidR="00C8052C" w:rsidRPr="00E8601E">
              <w:rPr>
                <w:noProof/>
              </w:rPr>
              <w:object w:dxaOrig="3163" w:dyaOrig="3187">
                <v:shape id="_x0000_i1030" type="#_x0000_t75" style="width:21.9pt;height:23.15pt" o:ole="">
                  <v:imagedata r:id="rId10" o:title=""/>
                </v:shape>
                <o:OLEObject Type="Embed" ProgID="CorelDRAW.Graphic.13" ShapeID="_x0000_i1030" DrawAspect="Content" ObjectID="_1792498566" r:id="rId15"/>
              </w:object>
            </w:r>
            <w:r w:rsidR="00C8052C">
              <w:rPr>
                <w:noProof/>
                <w:webHidden/>
              </w:rPr>
              <w:tab/>
            </w:r>
            <w:r>
              <w:rPr>
                <w:noProof/>
                <w:webHidden/>
              </w:rPr>
              <w:fldChar w:fldCharType="begin"/>
            </w:r>
            <w:r w:rsidR="00C8052C">
              <w:rPr>
                <w:noProof/>
                <w:webHidden/>
              </w:rPr>
              <w:instrText xml:space="preserve"> PAGEREF _Toc181778154 \h </w:instrText>
            </w:r>
            <w:r>
              <w:rPr>
                <w:noProof/>
                <w:webHidden/>
              </w:rPr>
            </w:r>
            <w:r>
              <w:rPr>
                <w:noProof/>
                <w:webHidden/>
              </w:rPr>
              <w:fldChar w:fldCharType="separate"/>
            </w:r>
            <w:r w:rsidR="00C8052C">
              <w:rPr>
                <w:noProof/>
                <w:webHidden/>
              </w:rPr>
              <w:t>6</w:t>
            </w:r>
            <w:r>
              <w:rPr>
                <w:noProof/>
                <w:webHidden/>
              </w:rPr>
              <w:fldChar w:fldCharType="end"/>
            </w:r>
          </w:hyperlink>
        </w:p>
        <w:p w:rsidR="00C8052C" w:rsidRDefault="008F04AC">
          <w:pPr>
            <w:pStyle w:val="Sumrio2"/>
            <w:rPr>
              <w:rFonts w:asciiTheme="minorHAnsi" w:hAnsiTheme="minorHAnsi" w:cstheme="minorBidi"/>
              <w:smallCaps w:val="0"/>
              <w:kern w:val="2"/>
              <w:sz w:val="22"/>
              <w:szCs w:val="22"/>
            </w:rPr>
          </w:pPr>
          <w:hyperlink w:anchor="_Toc181778155" w:history="1">
            <w:r w:rsidR="00C8052C" w:rsidRPr="000031A1">
              <w:rPr>
                <w:rStyle w:val="Hyperlink"/>
              </w:rPr>
              <w:t>Da Vigência</w:t>
            </w:r>
            <w:r w:rsidR="00C8052C">
              <w:rPr>
                <w:webHidden/>
              </w:rPr>
              <w:tab/>
            </w:r>
            <w:r>
              <w:rPr>
                <w:webHidden/>
              </w:rPr>
              <w:fldChar w:fldCharType="begin"/>
            </w:r>
            <w:r w:rsidR="00C8052C">
              <w:rPr>
                <w:webHidden/>
              </w:rPr>
              <w:instrText xml:space="preserve"> PAGEREF _Toc181778155 \h </w:instrText>
            </w:r>
            <w:r>
              <w:rPr>
                <w:webHidden/>
              </w:rPr>
            </w:r>
            <w:r>
              <w:rPr>
                <w:webHidden/>
              </w:rPr>
              <w:fldChar w:fldCharType="separate"/>
            </w:r>
            <w:r w:rsidR="00C8052C">
              <w:rPr>
                <w:webHidden/>
              </w:rPr>
              <w:t>6</w:t>
            </w:r>
            <w:r>
              <w:rPr>
                <w:webHidden/>
              </w:rPr>
              <w:fldChar w:fldCharType="end"/>
            </w:r>
          </w:hyperlink>
        </w:p>
        <w:p w:rsidR="00C8052C" w:rsidRDefault="008F04AC">
          <w:pPr>
            <w:pStyle w:val="Sumrio2"/>
            <w:rPr>
              <w:rFonts w:asciiTheme="minorHAnsi" w:hAnsiTheme="minorHAnsi" w:cstheme="minorBidi"/>
              <w:smallCaps w:val="0"/>
              <w:kern w:val="2"/>
              <w:sz w:val="22"/>
              <w:szCs w:val="22"/>
            </w:rPr>
          </w:pPr>
          <w:hyperlink w:anchor="_Toc181778156" w:history="1">
            <w:r w:rsidR="00C8052C" w:rsidRPr="000031A1">
              <w:rPr>
                <w:rStyle w:val="Hyperlink"/>
              </w:rPr>
              <w:t>Dos Objetivos</w:t>
            </w:r>
            <w:r w:rsidR="00C8052C">
              <w:rPr>
                <w:webHidden/>
              </w:rPr>
              <w:tab/>
            </w:r>
            <w:r>
              <w:rPr>
                <w:webHidden/>
              </w:rPr>
              <w:fldChar w:fldCharType="begin"/>
            </w:r>
            <w:r w:rsidR="00C8052C">
              <w:rPr>
                <w:webHidden/>
              </w:rPr>
              <w:instrText xml:space="preserve"> PAGEREF _Toc181778156 \h </w:instrText>
            </w:r>
            <w:r>
              <w:rPr>
                <w:webHidden/>
              </w:rPr>
            </w:r>
            <w:r>
              <w:rPr>
                <w:webHidden/>
              </w:rPr>
              <w:fldChar w:fldCharType="separate"/>
            </w:r>
            <w:r w:rsidR="00C8052C">
              <w:rPr>
                <w:webHidden/>
              </w:rPr>
              <w:t>6</w:t>
            </w:r>
            <w:r>
              <w:rPr>
                <w:webHidden/>
              </w:rPr>
              <w:fldChar w:fldCharType="end"/>
            </w:r>
          </w:hyperlink>
        </w:p>
        <w:p w:rsidR="00C8052C" w:rsidRDefault="008F04AC">
          <w:pPr>
            <w:pStyle w:val="Sumrio1"/>
            <w:tabs>
              <w:tab w:val="right" w:leader="dot" w:pos="9061"/>
            </w:tabs>
            <w:rPr>
              <w:b w:val="0"/>
              <w:bCs w:val="0"/>
              <w:caps w:val="0"/>
              <w:noProof/>
              <w:kern w:val="2"/>
              <w:sz w:val="22"/>
              <w:szCs w:val="22"/>
            </w:rPr>
          </w:pPr>
          <w:hyperlink w:anchor="_Toc181778157" w:history="1">
            <w:r w:rsidR="00C8052C" w:rsidRPr="00A75E13">
              <w:rPr>
                <w:b w:val="0"/>
                <w:noProof/>
              </w:rPr>
              <w:object w:dxaOrig="2425" w:dyaOrig="2598">
                <v:shape id="_x0000_i1031" type="#_x0000_t75" style="width:9.4pt;height:8.15pt" o:ole="">
                  <v:imagedata r:id="rId8" o:title=""/>
                </v:shape>
                <o:OLEObject Type="Embed" ProgID="CorelDRAW.Graphic.13" ShapeID="_x0000_i1031" DrawAspect="Content" ObjectID="_1792498567" r:id="rId16"/>
              </w:object>
            </w:r>
            <w:r w:rsidR="00C8052C" w:rsidRPr="000031A1">
              <w:rPr>
                <w:rStyle w:val="Hyperlink"/>
                <w:noProof/>
              </w:rPr>
              <w:t xml:space="preserve">MODELO DE GESTÃO E SERVIÇOS ESPECIALIZADOS </w:t>
            </w:r>
            <w:r w:rsidR="00C8052C" w:rsidRPr="00D31186">
              <w:rPr>
                <w:noProof/>
              </w:rPr>
              <w:object w:dxaOrig="3163" w:dyaOrig="3187">
                <v:shape id="_x0000_i1032" type="#_x0000_t75" style="width:21.9pt;height:23.15pt" o:ole="">
                  <v:imagedata r:id="rId10" o:title=""/>
                </v:shape>
                <o:OLEObject Type="Embed" ProgID="CorelDRAW.Graphic.13" ShapeID="_x0000_i1032" DrawAspect="Content" ObjectID="_1792498568" r:id="rId17"/>
              </w:object>
            </w:r>
            <w:r w:rsidR="00C8052C">
              <w:rPr>
                <w:noProof/>
                <w:webHidden/>
              </w:rPr>
              <w:tab/>
            </w:r>
            <w:r>
              <w:rPr>
                <w:noProof/>
                <w:webHidden/>
              </w:rPr>
              <w:fldChar w:fldCharType="begin"/>
            </w:r>
            <w:r w:rsidR="00C8052C">
              <w:rPr>
                <w:noProof/>
                <w:webHidden/>
              </w:rPr>
              <w:instrText xml:space="preserve"> PAGEREF _Toc181778157 \h </w:instrText>
            </w:r>
            <w:r>
              <w:rPr>
                <w:noProof/>
                <w:webHidden/>
              </w:rPr>
            </w:r>
            <w:r>
              <w:rPr>
                <w:noProof/>
                <w:webHidden/>
              </w:rPr>
              <w:fldChar w:fldCharType="separate"/>
            </w:r>
            <w:r w:rsidR="00C8052C">
              <w:rPr>
                <w:noProof/>
                <w:webHidden/>
              </w:rPr>
              <w:t>7</w:t>
            </w:r>
            <w:r>
              <w:rPr>
                <w:noProof/>
                <w:webHidden/>
              </w:rPr>
              <w:fldChar w:fldCharType="end"/>
            </w:r>
          </w:hyperlink>
        </w:p>
        <w:p w:rsidR="00C8052C" w:rsidRDefault="008F04AC">
          <w:pPr>
            <w:pStyle w:val="Sumrio2"/>
            <w:rPr>
              <w:rFonts w:asciiTheme="minorHAnsi" w:hAnsiTheme="minorHAnsi" w:cstheme="minorBidi"/>
              <w:smallCaps w:val="0"/>
              <w:kern w:val="2"/>
              <w:sz w:val="22"/>
              <w:szCs w:val="22"/>
            </w:rPr>
          </w:pPr>
          <w:hyperlink w:anchor="_Toc181778158" w:history="1">
            <w:r w:rsidR="00C8052C" w:rsidRPr="000031A1">
              <w:rPr>
                <w:rStyle w:val="Hyperlink"/>
              </w:rPr>
              <w:t>Do Modelo de Gestão</w:t>
            </w:r>
            <w:r w:rsidR="00C8052C">
              <w:rPr>
                <w:webHidden/>
              </w:rPr>
              <w:tab/>
            </w:r>
            <w:r>
              <w:rPr>
                <w:webHidden/>
              </w:rPr>
              <w:fldChar w:fldCharType="begin"/>
            </w:r>
            <w:r w:rsidR="00C8052C">
              <w:rPr>
                <w:webHidden/>
              </w:rPr>
              <w:instrText xml:space="preserve"> PAGEREF _Toc181778158 \h </w:instrText>
            </w:r>
            <w:r>
              <w:rPr>
                <w:webHidden/>
              </w:rPr>
            </w:r>
            <w:r>
              <w:rPr>
                <w:webHidden/>
              </w:rPr>
              <w:fldChar w:fldCharType="separate"/>
            </w:r>
            <w:r w:rsidR="00C8052C">
              <w:rPr>
                <w:webHidden/>
              </w:rPr>
              <w:t>7</w:t>
            </w:r>
            <w:r>
              <w:rPr>
                <w:webHidden/>
              </w:rPr>
              <w:fldChar w:fldCharType="end"/>
            </w:r>
          </w:hyperlink>
        </w:p>
        <w:p w:rsidR="00C8052C" w:rsidRDefault="008F04AC">
          <w:pPr>
            <w:pStyle w:val="Sumrio2"/>
            <w:rPr>
              <w:rFonts w:asciiTheme="minorHAnsi" w:hAnsiTheme="minorHAnsi" w:cstheme="minorBidi"/>
              <w:smallCaps w:val="0"/>
              <w:kern w:val="2"/>
              <w:sz w:val="22"/>
              <w:szCs w:val="22"/>
            </w:rPr>
          </w:pPr>
          <w:hyperlink w:anchor="_Toc181778159" w:history="1">
            <w:r w:rsidR="00C8052C" w:rsidRPr="000031A1">
              <w:rPr>
                <w:rStyle w:val="Hyperlink"/>
              </w:rPr>
              <w:t>Dos Serviços Especializados</w:t>
            </w:r>
            <w:r w:rsidR="00C8052C">
              <w:rPr>
                <w:webHidden/>
              </w:rPr>
              <w:tab/>
            </w:r>
            <w:r>
              <w:rPr>
                <w:webHidden/>
              </w:rPr>
              <w:fldChar w:fldCharType="begin"/>
            </w:r>
            <w:r w:rsidR="00C8052C">
              <w:rPr>
                <w:webHidden/>
              </w:rPr>
              <w:instrText xml:space="preserve"> PAGEREF _Toc181778159 \h </w:instrText>
            </w:r>
            <w:r>
              <w:rPr>
                <w:webHidden/>
              </w:rPr>
            </w:r>
            <w:r>
              <w:rPr>
                <w:webHidden/>
              </w:rPr>
              <w:fldChar w:fldCharType="separate"/>
            </w:r>
            <w:r w:rsidR="00C8052C">
              <w:rPr>
                <w:webHidden/>
              </w:rPr>
              <w:t>7</w:t>
            </w:r>
            <w:r>
              <w:rPr>
                <w:webHidden/>
              </w:rPr>
              <w:fldChar w:fldCharType="end"/>
            </w:r>
          </w:hyperlink>
        </w:p>
        <w:p w:rsidR="00C8052C" w:rsidRDefault="008F04AC">
          <w:pPr>
            <w:pStyle w:val="Sumrio1"/>
            <w:tabs>
              <w:tab w:val="right" w:leader="dot" w:pos="9061"/>
            </w:tabs>
            <w:rPr>
              <w:b w:val="0"/>
              <w:bCs w:val="0"/>
              <w:caps w:val="0"/>
              <w:noProof/>
              <w:kern w:val="2"/>
              <w:sz w:val="22"/>
              <w:szCs w:val="22"/>
            </w:rPr>
          </w:pPr>
          <w:hyperlink w:anchor="_Toc181778160" w:history="1">
            <w:r w:rsidR="00C8052C" w:rsidRPr="00D31186">
              <w:rPr>
                <w:noProof/>
              </w:rPr>
              <w:object w:dxaOrig="2425" w:dyaOrig="2598">
                <v:shape id="_x0000_i1033" type="#_x0000_t75" style="width:9.4pt;height:8.15pt" o:ole="">
                  <v:imagedata r:id="rId8" o:title=""/>
                </v:shape>
                <o:OLEObject Type="Embed" ProgID="CorelDRAW.Graphic.13" ShapeID="_x0000_i1033" DrawAspect="Content" ObjectID="_1792498569" r:id="rId18"/>
              </w:object>
            </w:r>
            <w:r w:rsidR="00C8052C" w:rsidRPr="000031A1">
              <w:rPr>
                <w:rStyle w:val="Hyperlink"/>
                <w:rFonts w:ascii="Tahoma" w:hAnsi="Tahoma" w:cs="Tahoma"/>
                <w:noProof/>
              </w:rPr>
              <w:t xml:space="preserve">ASPECTOS LEGAIS DA RESOLUÇÃO CMN Nº 4.963/2021 </w:t>
            </w:r>
            <w:r w:rsidR="00C8052C" w:rsidRPr="00D31186">
              <w:rPr>
                <w:noProof/>
              </w:rPr>
              <w:object w:dxaOrig="3163" w:dyaOrig="3187">
                <v:shape id="_x0000_i1034" type="#_x0000_t75" style="width:18.8pt;height:18.8pt" o:ole="">
                  <v:imagedata r:id="rId10" o:title=""/>
                </v:shape>
                <o:OLEObject Type="Embed" ProgID="CorelDRAW.Graphic.13" ShapeID="_x0000_i1034" DrawAspect="Content" ObjectID="_1792498570" r:id="rId19"/>
              </w:object>
            </w:r>
            <w:r w:rsidR="00C8052C">
              <w:rPr>
                <w:noProof/>
                <w:webHidden/>
              </w:rPr>
              <w:tab/>
            </w:r>
            <w:r>
              <w:rPr>
                <w:noProof/>
                <w:webHidden/>
              </w:rPr>
              <w:fldChar w:fldCharType="begin"/>
            </w:r>
            <w:r w:rsidR="00C8052C">
              <w:rPr>
                <w:noProof/>
                <w:webHidden/>
              </w:rPr>
              <w:instrText xml:space="preserve"> PAGEREF _Toc181778160 \h </w:instrText>
            </w:r>
            <w:r>
              <w:rPr>
                <w:noProof/>
                <w:webHidden/>
              </w:rPr>
            </w:r>
            <w:r>
              <w:rPr>
                <w:noProof/>
                <w:webHidden/>
              </w:rPr>
              <w:fldChar w:fldCharType="separate"/>
            </w:r>
            <w:r w:rsidR="00C8052C">
              <w:rPr>
                <w:noProof/>
                <w:webHidden/>
              </w:rPr>
              <w:t>8</w:t>
            </w:r>
            <w:r>
              <w:rPr>
                <w:noProof/>
                <w:webHidden/>
              </w:rPr>
              <w:fldChar w:fldCharType="end"/>
            </w:r>
          </w:hyperlink>
        </w:p>
        <w:p w:rsidR="00C8052C" w:rsidRDefault="008F04AC">
          <w:pPr>
            <w:pStyle w:val="Sumrio1"/>
            <w:tabs>
              <w:tab w:val="right" w:leader="dot" w:pos="9061"/>
            </w:tabs>
            <w:rPr>
              <w:b w:val="0"/>
              <w:bCs w:val="0"/>
              <w:caps w:val="0"/>
              <w:noProof/>
              <w:kern w:val="2"/>
              <w:sz w:val="22"/>
              <w:szCs w:val="22"/>
            </w:rPr>
          </w:pPr>
          <w:hyperlink w:anchor="_Toc181778161" w:history="1">
            <w:r w:rsidR="00C8052C" w:rsidRPr="00E4782B">
              <w:rPr>
                <w:noProof/>
              </w:rPr>
              <w:object w:dxaOrig="2425" w:dyaOrig="2598">
                <v:shape id="_x0000_i1035" type="#_x0000_t75" style="width:9.4pt;height:8.15pt" o:ole="">
                  <v:imagedata r:id="rId8" o:title=""/>
                </v:shape>
                <o:OLEObject Type="Embed" ProgID="CorelDRAW.Graphic.13" ShapeID="_x0000_i1035" DrawAspect="Content" ObjectID="_1792498571" r:id="rId20"/>
              </w:object>
            </w:r>
            <w:r w:rsidR="00C8052C" w:rsidRPr="000031A1">
              <w:rPr>
                <w:rStyle w:val="Hyperlink"/>
                <w:noProof/>
              </w:rPr>
              <w:t xml:space="preserve">CONJUNTURA ECONÔMICA E ANÁLISE DE MERCADO </w:t>
            </w:r>
            <w:r w:rsidR="00C8052C" w:rsidRPr="00E8601E">
              <w:rPr>
                <w:noProof/>
              </w:rPr>
              <w:object w:dxaOrig="3163" w:dyaOrig="3187">
                <v:shape id="_x0000_i1036" type="#_x0000_t75" style="width:21.9pt;height:23.15pt" o:ole="">
                  <v:imagedata r:id="rId10" o:title=""/>
                </v:shape>
                <o:OLEObject Type="Embed" ProgID="CorelDRAW.Graphic.13" ShapeID="_x0000_i1036" DrawAspect="Content" ObjectID="_1792498572" r:id="rId21"/>
              </w:object>
            </w:r>
            <w:r w:rsidR="00C8052C">
              <w:rPr>
                <w:noProof/>
                <w:webHidden/>
              </w:rPr>
              <w:tab/>
            </w:r>
            <w:r>
              <w:rPr>
                <w:noProof/>
                <w:webHidden/>
              </w:rPr>
              <w:fldChar w:fldCharType="begin"/>
            </w:r>
            <w:r w:rsidR="00C8052C">
              <w:rPr>
                <w:noProof/>
                <w:webHidden/>
              </w:rPr>
              <w:instrText xml:space="preserve"> PAGEREF _Toc181778161 \h </w:instrText>
            </w:r>
            <w:r>
              <w:rPr>
                <w:noProof/>
                <w:webHidden/>
              </w:rPr>
            </w:r>
            <w:r>
              <w:rPr>
                <w:noProof/>
                <w:webHidden/>
              </w:rPr>
              <w:fldChar w:fldCharType="separate"/>
            </w:r>
            <w:r w:rsidR="00C8052C">
              <w:rPr>
                <w:noProof/>
                <w:webHidden/>
              </w:rPr>
              <w:t>9</w:t>
            </w:r>
            <w:r>
              <w:rPr>
                <w:noProof/>
                <w:webHidden/>
              </w:rPr>
              <w:fldChar w:fldCharType="end"/>
            </w:r>
          </w:hyperlink>
        </w:p>
        <w:p w:rsidR="00C8052C" w:rsidRDefault="008F04AC">
          <w:pPr>
            <w:pStyle w:val="Sumrio2"/>
            <w:rPr>
              <w:rFonts w:asciiTheme="minorHAnsi" w:hAnsiTheme="minorHAnsi" w:cstheme="minorBidi"/>
              <w:smallCaps w:val="0"/>
              <w:kern w:val="2"/>
              <w:sz w:val="22"/>
              <w:szCs w:val="22"/>
            </w:rPr>
          </w:pPr>
          <w:hyperlink w:anchor="_Toc181778162" w:history="1">
            <w:r w:rsidR="00C8052C" w:rsidRPr="000031A1">
              <w:rPr>
                <w:rStyle w:val="Hyperlink"/>
                <w:b/>
              </w:rPr>
              <w:t>Análise e Projeções 2024/2025</w:t>
            </w:r>
            <w:r w:rsidR="00C8052C">
              <w:rPr>
                <w:webHidden/>
              </w:rPr>
              <w:tab/>
            </w:r>
            <w:r>
              <w:rPr>
                <w:webHidden/>
              </w:rPr>
              <w:fldChar w:fldCharType="begin"/>
            </w:r>
            <w:r w:rsidR="00C8052C">
              <w:rPr>
                <w:webHidden/>
              </w:rPr>
              <w:instrText xml:space="preserve"> PAGEREF _Toc181778162 \h </w:instrText>
            </w:r>
            <w:r>
              <w:rPr>
                <w:webHidden/>
              </w:rPr>
            </w:r>
            <w:r>
              <w:rPr>
                <w:webHidden/>
              </w:rPr>
              <w:fldChar w:fldCharType="separate"/>
            </w:r>
            <w:r w:rsidR="00C8052C">
              <w:rPr>
                <w:webHidden/>
              </w:rPr>
              <w:t>10</w:t>
            </w:r>
            <w:r>
              <w:rPr>
                <w:webHidden/>
              </w:rPr>
              <w:fldChar w:fldCharType="end"/>
            </w:r>
          </w:hyperlink>
        </w:p>
        <w:p w:rsidR="00C8052C" w:rsidRDefault="008F04AC">
          <w:pPr>
            <w:pStyle w:val="Sumrio2"/>
            <w:rPr>
              <w:rFonts w:asciiTheme="minorHAnsi" w:hAnsiTheme="minorHAnsi" w:cstheme="minorBidi"/>
              <w:smallCaps w:val="0"/>
              <w:kern w:val="2"/>
              <w:sz w:val="22"/>
              <w:szCs w:val="22"/>
            </w:rPr>
          </w:pPr>
          <w:hyperlink w:anchor="_Toc181778163" w:history="1">
            <w:r w:rsidR="00C8052C" w:rsidRPr="000031A1">
              <w:rPr>
                <w:rStyle w:val="Hyperlink"/>
                <w:b/>
              </w:rPr>
              <w:t>Economia Mundial e taxa de câmbio</w:t>
            </w:r>
            <w:r w:rsidR="00C8052C">
              <w:rPr>
                <w:webHidden/>
              </w:rPr>
              <w:tab/>
            </w:r>
            <w:r>
              <w:rPr>
                <w:webHidden/>
              </w:rPr>
              <w:fldChar w:fldCharType="begin"/>
            </w:r>
            <w:r w:rsidR="00C8052C">
              <w:rPr>
                <w:webHidden/>
              </w:rPr>
              <w:instrText xml:space="preserve"> PAGEREF _Toc181778163 \h </w:instrText>
            </w:r>
            <w:r>
              <w:rPr>
                <w:webHidden/>
              </w:rPr>
            </w:r>
            <w:r>
              <w:rPr>
                <w:webHidden/>
              </w:rPr>
              <w:fldChar w:fldCharType="separate"/>
            </w:r>
            <w:r w:rsidR="00C8052C">
              <w:rPr>
                <w:webHidden/>
              </w:rPr>
              <w:t>13</w:t>
            </w:r>
            <w:r>
              <w:rPr>
                <w:webHidden/>
              </w:rPr>
              <w:fldChar w:fldCharType="end"/>
            </w:r>
          </w:hyperlink>
        </w:p>
        <w:p w:rsidR="00C8052C" w:rsidRDefault="008F04AC">
          <w:pPr>
            <w:pStyle w:val="Sumrio2"/>
            <w:rPr>
              <w:rFonts w:asciiTheme="minorHAnsi" w:hAnsiTheme="minorHAnsi" w:cstheme="minorBidi"/>
              <w:smallCaps w:val="0"/>
              <w:kern w:val="2"/>
              <w:sz w:val="22"/>
              <w:szCs w:val="22"/>
            </w:rPr>
          </w:pPr>
          <w:hyperlink w:anchor="_Toc181778164" w:history="1">
            <w:r w:rsidR="00C8052C" w:rsidRPr="000031A1">
              <w:rPr>
                <w:rStyle w:val="Hyperlink"/>
                <w:b/>
              </w:rPr>
              <w:t>Taxa de Juros, Inflação e Política Monetária</w:t>
            </w:r>
            <w:r w:rsidR="00C8052C">
              <w:rPr>
                <w:webHidden/>
              </w:rPr>
              <w:tab/>
            </w:r>
            <w:r>
              <w:rPr>
                <w:webHidden/>
              </w:rPr>
              <w:fldChar w:fldCharType="begin"/>
            </w:r>
            <w:r w:rsidR="00C8052C">
              <w:rPr>
                <w:webHidden/>
              </w:rPr>
              <w:instrText xml:space="preserve"> PAGEREF _Toc181778164 \h </w:instrText>
            </w:r>
            <w:r>
              <w:rPr>
                <w:webHidden/>
              </w:rPr>
            </w:r>
            <w:r>
              <w:rPr>
                <w:webHidden/>
              </w:rPr>
              <w:fldChar w:fldCharType="separate"/>
            </w:r>
            <w:r w:rsidR="00C8052C">
              <w:rPr>
                <w:webHidden/>
              </w:rPr>
              <w:t>16</w:t>
            </w:r>
            <w:r>
              <w:rPr>
                <w:webHidden/>
              </w:rPr>
              <w:fldChar w:fldCharType="end"/>
            </w:r>
          </w:hyperlink>
        </w:p>
        <w:p w:rsidR="00C8052C" w:rsidRDefault="008F04AC">
          <w:pPr>
            <w:pStyle w:val="Sumrio2"/>
            <w:rPr>
              <w:rFonts w:asciiTheme="minorHAnsi" w:hAnsiTheme="minorHAnsi" w:cstheme="minorBidi"/>
              <w:smallCaps w:val="0"/>
              <w:kern w:val="2"/>
              <w:sz w:val="22"/>
              <w:szCs w:val="22"/>
            </w:rPr>
          </w:pPr>
          <w:hyperlink w:anchor="_Toc181778165" w:history="1">
            <w:r w:rsidR="00C8052C" w:rsidRPr="000031A1">
              <w:rPr>
                <w:rStyle w:val="Hyperlink"/>
                <w:b/>
              </w:rPr>
              <w:t>Atividade Econômica e Produto Interno Bruto</w:t>
            </w:r>
            <w:r w:rsidR="00C8052C">
              <w:rPr>
                <w:webHidden/>
              </w:rPr>
              <w:tab/>
            </w:r>
            <w:r>
              <w:rPr>
                <w:webHidden/>
              </w:rPr>
              <w:fldChar w:fldCharType="begin"/>
            </w:r>
            <w:r w:rsidR="00C8052C">
              <w:rPr>
                <w:webHidden/>
              </w:rPr>
              <w:instrText xml:space="preserve"> PAGEREF _Toc181778165 \h </w:instrText>
            </w:r>
            <w:r>
              <w:rPr>
                <w:webHidden/>
              </w:rPr>
            </w:r>
            <w:r>
              <w:rPr>
                <w:webHidden/>
              </w:rPr>
              <w:fldChar w:fldCharType="separate"/>
            </w:r>
            <w:r w:rsidR="00C8052C">
              <w:rPr>
                <w:webHidden/>
              </w:rPr>
              <w:t>18</w:t>
            </w:r>
            <w:r>
              <w:rPr>
                <w:webHidden/>
              </w:rPr>
              <w:fldChar w:fldCharType="end"/>
            </w:r>
          </w:hyperlink>
        </w:p>
        <w:p w:rsidR="00C8052C" w:rsidRDefault="008F04AC">
          <w:pPr>
            <w:pStyle w:val="Sumrio1"/>
            <w:tabs>
              <w:tab w:val="right" w:leader="dot" w:pos="9061"/>
            </w:tabs>
            <w:rPr>
              <w:b w:val="0"/>
              <w:bCs w:val="0"/>
              <w:caps w:val="0"/>
              <w:noProof/>
              <w:kern w:val="2"/>
              <w:sz w:val="22"/>
              <w:szCs w:val="22"/>
            </w:rPr>
          </w:pPr>
          <w:hyperlink w:anchor="_Toc181778166" w:history="1">
            <w:r w:rsidR="00C8052C" w:rsidRPr="00E4782B">
              <w:rPr>
                <w:noProof/>
              </w:rPr>
              <w:object w:dxaOrig="2425" w:dyaOrig="2598">
                <v:shape id="_x0000_i1037" type="#_x0000_t75" style="width:9.4pt;height:8.15pt" o:ole="">
                  <v:imagedata r:id="rId8" o:title=""/>
                </v:shape>
                <o:OLEObject Type="Embed" ProgID="CorelDRAW.Graphic.13" ShapeID="_x0000_i1037" DrawAspect="Content" ObjectID="_1792498573" r:id="rId22"/>
              </w:object>
            </w:r>
            <w:r w:rsidR="00C8052C" w:rsidRPr="000031A1">
              <w:rPr>
                <w:rStyle w:val="Hyperlink"/>
                <w:noProof/>
              </w:rPr>
              <w:t>EXPECTATIVAS DO MERCADO FINANCEIRO 2025 - BRASIL</w:t>
            </w:r>
            <w:r w:rsidR="00C8052C" w:rsidRPr="00ED4208">
              <w:rPr>
                <w:noProof/>
                <w:color w:val="17365D" w:themeColor="text2" w:themeShade="BF"/>
                <w:sz w:val="30"/>
                <w:szCs w:val="30"/>
              </w:rPr>
              <w:object w:dxaOrig="3163" w:dyaOrig="3187">
                <v:shape id="_x0000_i1038" type="#_x0000_t75" style="width:21.9pt;height:23.15pt" o:ole="">
                  <v:imagedata r:id="rId10" o:title=""/>
                </v:shape>
                <o:OLEObject Type="Embed" ProgID="CorelDRAW.Graphic.13" ShapeID="_x0000_i1038" DrawAspect="Content" ObjectID="_1792498574" r:id="rId23"/>
              </w:object>
            </w:r>
            <w:r w:rsidR="00C8052C">
              <w:rPr>
                <w:noProof/>
                <w:webHidden/>
              </w:rPr>
              <w:tab/>
            </w:r>
            <w:r>
              <w:rPr>
                <w:noProof/>
                <w:webHidden/>
              </w:rPr>
              <w:fldChar w:fldCharType="begin"/>
            </w:r>
            <w:r w:rsidR="00C8052C">
              <w:rPr>
                <w:noProof/>
                <w:webHidden/>
              </w:rPr>
              <w:instrText xml:space="preserve"> PAGEREF _Toc181778166 \h </w:instrText>
            </w:r>
            <w:r>
              <w:rPr>
                <w:noProof/>
                <w:webHidden/>
              </w:rPr>
            </w:r>
            <w:r>
              <w:rPr>
                <w:noProof/>
                <w:webHidden/>
              </w:rPr>
              <w:fldChar w:fldCharType="separate"/>
            </w:r>
            <w:r w:rsidR="00C8052C">
              <w:rPr>
                <w:noProof/>
                <w:webHidden/>
              </w:rPr>
              <w:t>20</w:t>
            </w:r>
            <w:r>
              <w:rPr>
                <w:noProof/>
                <w:webHidden/>
              </w:rPr>
              <w:fldChar w:fldCharType="end"/>
            </w:r>
          </w:hyperlink>
        </w:p>
        <w:p w:rsidR="00C8052C" w:rsidRDefault="008F04AC">
          <w:pPr>
            <w:pStyle w:val="Sumrio2"/>
            <w:rPr>
              <w:rFonts w:asciiTheme="minorHAnsi" w:hAnsiTheme="minorHAnsi" w:cstheme="minorBidi"/>
              <w:smallCaps w:val="0"/>
              <w:kern w:val="2"/>
              <w:sz w:val="22"/>
              <w:szCs w:val="22"/>
            </w:rPr>
          </w:pPr>
          <w:hyperlink w:anchor="_Toc181778167" w:history="1">
            <w:r w:rsidR="00C8052C" w:rsidRPr="000031A1">
              <w:rPr>
                <w:rStyle w:val="Hyperlink"/>
                <w:b/>
                <w:bCs/>
              </w:rPr>
              <w:t>Renda Fixa</w:t>
            </w:r>
            <w:r w:rsidR="00C8052C">
              <w:rPr>
                <w:webHidden/>
              </w:rPr>
              <w:tab/>
            </w:r>
            <w:r>
              <w:rPr>
                <w:webHidden/>
              </w:rPr>
              <w:fldChar w:fldCharType="begin"/>
            </w:r>
            <w:r w:rsidR="00C8052C">
              <w:rPr>
                <w:webHidden/>
              </w:rPr>
              <w:instrText xml:space="preserve"> PAGEREF _Toc181778167 \h </w:instrText>
            </w:r>
            <w:r>
              <w:rPr>
                <w:webHidden/>
              </w:rPr>
            </w:r>
            <w:r>
              <w:rPr>
                <w:webHidden/>
              </w:rPr>
              <w:fldChar w:fldCharType="separate"/>
            </w:r>
            <w:r w:rsidR="00C8052C">
              <w:rPr>
                <w:webHidden/>
              </w:rPr>
              <w:t>20</w:t>
            </w:r>
            <w:r>
              <w:rPr>
                <w:webHidden/>
              </w:rPr>
              <w:fldChar w:fldCharType="end"/>
            </w:r>
          </w:hyperlink>
        </w:p>
        <w:p w:rsidR="00C8052C" w:rsidRDefault="008F04AC">
          <w:pPr>
            <w:pStyle w:val="Sumrio2"/>
            <w:rPr>
              <w:rFonts w:asciiTheme="minorHAnsi" w:hAnsiTheme="minorHAnsi" w:cstheme="minorBidi"/>
              <w:smallCaps w:val="0"/>
              <w:kern w:val="2"/>
              <w:sz w:val="22"/>
              <w:szCs w:val="22"/>
            </w:rPr>
          </w:pPr>
          <w:hyperlink w:anchor="_Toc181778168" w:history="1">
            <w:r w:rsidR="00C8052C" w:rsidRPr="000031A1">
              <w:rPr>
                <w:rStyle w:val="Hyperlink"/>
                <w:b/>
              </w:rPr>
              <w:t>Análise 2024 e Perspectivas para 2025</w:t>
            </w:r>
            <w:r w:rsidR="00C8052C">
              <w:rPr>
                <w:webHidden/>
              </w:rPr>
              <w:tab/>
            </w:r>
            <w:r>
              <w:rPr>
                <w:webHidden/>
              </w:rPr>
              <w:fldChar w:fldCharType="begin"/>
            </w:r>
            <w:r w:rsidR="00C8052C">
              <w:rPr>
                <w:webHidden/>
              </w:rPr>
              <w:instrText xml:space="preserve"> PAGEREF _Toc181778168 \h </w:instrText>
            </w:r>
            <w:r>
              <w:rPr>
                <w:webHidden/>
              </w:rPr>
            </w:r>
            <w:r>
              <w:rPr>
                <w:webHidden/>
              </w:rPr>
              <w:fldChar w:fldCharType="separate"/>
            </w:r>
            <w:r w:rsidR="00C8052C">
              <w:rPr>
                <w:webHidden/>
              </w:rPr>
              <w:t>22</w:t>
            </w:r>
            <w:r>
              <w:rPr>
                <w:webHidden/>
              </w:rPr>
              <w:fldChar w:fldCharType="end"/>
            </w:r>
          </w:hyperlink>
        </w:p>
        <w:p w:rsidR="00C8052C" w:rsidRDefault="008F04AC">
          <w:pPr>
            <w:pStyle w:val="Sumrio2"/>
            <w:rPr>
              <w:rFonts w:asciiTheme="minorHAnsi" w:hAnsiTheme="minorHAnsi" w:cstheme="minorBidi"/>
              <w:smallCaps w:val="0"/>
              <w:kern w:val="2"/>
              <w:sz w:val="22"/>
              <w:szCs w:val="22"/>
            </w:rPr>
          </w:pPr>
          <w:hyperlink w:anchor="_Toc181778169" w:history="1">
            <w:r w:rsidR="00C8052C" w:rsidRPr="000031A1">
              <w:rPr>
                <w:rStyle w:val="Hyperlink"/>
                <w:b/>
                <w:bCs/>
              </w:rPr>
              <w:t>Renda Variável</w:t>
            </w:r>
            <w:r w:rsidR="00C8052C">
              <w:rPr>
                <w:webHidden/>
              </w:rPr>
              <w:tab/>
            </w:r>
            <w:r>
              <w:rPr>
                <w:webHidden/>
              </w:rPr>
              <w:fldChar w:fldCharType="begin"/>
            </w:r>
            <w:r w:rsidR="00C8052C">
              <w:rPr>
                <w:webHidden/>
              </w:rPr>
              <w:instrText xml:space="preserve"> PAGEREF _Toc181778169 \h </w:instrText>
            </w:r>
            <w:r>
              <w:rPr>
                <w:webHidden/>
              </w:rPr>
            </w:r>
            <w:r>
              <w:rPr>
                <w:webHidden/>
              </w:rPr>
              <w:fldChar w:fldCharType="separate"/>
            </w:r>
            <w:r w:rsidR="00C8052C">
              <w:rPr>
                <w:webHidden/>
              </w:rPr>
              <w:t>26</w:t>
            </w:r>
            <w:r>
              <w:rPr>
                <w:webHidden/>
              </w:rPr>
              <w:fldChar w:fldCharType="end"/>
            </w:r>
          </w:hyperlink>
        </w:p>
        <w:p w:rsidR="00C8052C" w:rsidRDefault="008F04AC">
          <w:pPr>
            <w:pStyle w:val="Sumrio2"/>
            <w:rPr>
              <w:rFonts w:asciiTheme="minorHAnsi" w:hAnsiTheme="minorHAnsi" w:cstheme="minorBidi"/>
              <w:smallCaps w:val="0"/>
              <w:kern w:val="2"/>
              <w:sz w:val="22"/>
              <w:szCs w:val="22"/>
            </w:rPr>
          </w:pPr>
          <w:hyperlink w:anchor="_Toc181778170" w:history="1">
            <w:r w:rsidR="00C8052C" w:rsidRPr="000031A1">
              <w:rPr>
                <w:rStyle w:val="Hyperlink"/>
                <w:b/>
              </w:rPr>
              <w:t>Análise 2024 e Perspectivas para 2025</w:t>
            </w:r>
            <w:r w:rsidR="00C8052C">
              <w:rPr>
                <w:webHidden/>
              </w:rPr>
              <w:tab/>
            </w:r>
            <w:r>
              <w:rPr>
                <w:webHidden/>
              </w:rPr>
              <w:fldChar w:fldCharType="begin"/>
            </w:r>
            <w:r w:rsidR="00C8052C">
              <w:rPr>
                <w:webHidden/>
              </w:rPr>
              <w:instrText xml:space="preserve"> PAGEREF _Toc181778170 \h </w:instrText>
            </w:r>
            <w:r>
              <w:rPr>
                <w:webHidden/>
              </w:rPr>
            </w:r>
            <w:r>
              <w:rPr>
                <w:webHidden/>
              </w:rPr>
              <w:fldChar w:fldCharType="separate"/>
            </w:r>
            <w:r w:rsidR="00C8052C">
              <w:rPr>
                <w:webHidden/>
              </w:rPr>
              <w:t>27</w:t>
            </w:r>
            <w:r>
              <w:rPr>
                <w:webHidden/>
              </w:rPr>
              <w:fldChar w:fldCharType="end"/>
            </w:r>
          </w:hyperlink>
        </w:p>
        <w:p w:rsidR="00C8052C" w:rsidRDefault="008F04AC">
          <w:pPr>
            <w:pStyle w:val="Sumrio1"/>
            <w:tabs>
              <w:tab w:val="right" w:leader="dot" w:pos="9061"/>
            </w:tabs>
            <w:rPr>
              <w:b w:val="0"/>
              <w:bCs w:val="0"/>
              <w:caps w:val="0"/>
              <w:noProof/>
              <w:kern w:val="2"/>
              <w:sz w:val="22"/>
              <w:szCs w:val="22"/>
            </w:rPr>
          </w:pPr>
          <w:hyperlink w:anchor="_Toc181778171" w:history="1">
            <w:r w:rsidR="00C8052C" w:rsidRPr="00E4782B">
              <w:rPr>
                <w:noProof/>
              </w:rPr>
              <w:object w:dxaOrig="2425" w:dyaOrig="2598">
                <v:shape id="_x0000_i1039" type="#_x0000_t75" style="width:9.4pt;height:8.15pt" o:ole="">
                  <v:imagedata r:id="rId8" o:title=""/>
                </v:shape>
                <o:OLEObject Type="Embed" ProgID="CorelDRAW.Graphic.13" ShapeID="_x0000_i1039" DrawAspect="Content" ObjectID="_1792498575" r:id="rId24"/>
              </w:object>
            </w:r>
            <w:r w:rsidR="00C8052C" w:rsidRPr="000031A1">
              <w:rPr>
                <w:rStyle w:val="Hyperlink"/>
                <w:noProof/>
              </w:rPr>
              <w:t xml:space="preserve">CONSIDERAÇÕES GERAIS – CENÁRIO 2024/2025 </w:t>
            </w:r>
            <w:r w:rsidR="00C8052C" w:rsidRPr="00171269">
              <w:rPr>
                <w:noProof/>
                <w:color w:val="17365D" w:themeColor="text2" w:themeShade="BF"/>
                <w:sz w:val="30"/>
                <w:szCs w:val="30"/>
              </w:rPr>
              <w:object w:dxaOrig="3163" w:dyaOrig="3187">
                <v:shape id="_x0000_i1040" type="#_x0000_t75" style="width:21.9pt;height:23.15pt" o:ole="">
                  <v:imagedata r:id="rId10" o:title=""/>
                </v:shape>
                <o:OLEObject Type="Embed" ProgID="CorelDRAW.Graphic.13" ShapeID="_x0000_i1040" DrawAspect="Content" ObjectID="_1792498576" r:id="rId25"/>
              </w:object>
            </w:r>
            <w:r w:rsidR="00C8052C">
              <w:rPr>
                <w:noProof/>
                <w:webHidden/>
              </w:rPr>
              <w:tab/>
            </w:r>
            <w:r>
              <w:rPr>
                <w:noProof/>
                <w:webHidden/>
              </w:rPr>
              <w:fldChar w:fldCharType="begin"/>
            </w:r>
            <w:r w:rsidR="00C8052C">
              <w:rPr>
                <w:noProof/>
                <w:webHidden/>
              </w:rPr>
              <w:instrText xml:space="preserve"> PAGEREF _Toc181778171 \h </w:instrText>
            </w:r>
            <w:r>
              <w:rPr>
                <w:noProof/>
                <w:webHidden/>
              </w:rPr>
            </w:r>
            <w:r>
              <w:rPr>
                <w:noProof/>
                <w:webHidden/>
              </w:rPr>
              <w:fldChar w:fldCharType="separate"/>
            </w:r>
            <w:r w:rsidR="00C8052C">
              <w:rPr>
                <w:noProof/>
                <w:webHidden/>
              </w:rPr>
              <w:t>30</w:t>
            </w:r>
            <w:r>
              <w:rPr>
                <w:noProof/>
                <w:webHidden/>
              </w:rPr>
              <w:fldChar w:fldCharType="end"/>
            </w:r>
          </w:hyperlink>
        </w:p>
        <w:p w:rsidR="00C8052C" w:rsidRDefault="008F04AC">
          <w:pPr>
            <w:pStyle w:val="Sumrio1"/>
            <w:tabs>
              <w:tab w:val="right" w:leader="dot" w:pos="9061"/>
            </w:tabs>
            <w:rPr>
              <w:b w:val="0"/>
              <w:bCs w:val="0"/>
              <w:caps w:val="0"/>
              <w:noProof/>
              <w:kern w:val="2"/>
              <w:sz w:val="22"/>
              <w:szCs w:val="22"/>
            </w:rPr>
          </w:pPr>
          <w:hyperlink w:anchor="_Toc181778172" w:history="1">
            <w:r w:rsidR="00C8052C" w:rsidRPr="00E4782B">
              <w:rPr>
                <w:noProof/>
              </w:rPr>
              <w:object w:dxaOrig="2425" w:dyaOrig="2598">
                <v:shape id="_x0000_i1041" type="#_x0000_t75" style="width:9.4pt;height:8.15pt" o:ole="">
                  <v:imagedata r:id="rId8" o:title=""/>
                </v:shape>
                <o:OLEObject Type="Embed" ProgID="CorelDRAW.Graphic.13" ShapeID="_x0000_i1041" DrawAspect="Content" ObjectID="_1792498577" r:id="rId26"/>
              </w:object>
            </w:r>
            <w:r w:rsidR="00C8052C" w:rsidRPr="000031A1">
              <w:rPr>
                <w:rStyle w:val="Hyperlink"/>
                <w:noProof/>
              </w:rPr>
              <w:t xml:space="preserve">CONTROLE DE RISCOS </w:t>
            </w:r>
            <w:r w:rsidR="00C8052C" w:rsidRPr="00E8601E">
              <w:rPr>
                <w:noProof/>
              </w:rPr>
              <w:object w:dxaOrig="3163" w:dyaOrig="3187">
                <v:shape id="_x0000_i1042" type="#_x0000_t75" style="width:21.9pt;height:23.15pt" o:ole="">
                  <v:imagedata r:id="rId10" o:title=""/>
                </v:shape>
                <o:OLEObject Type="Embed" ProgID="CorelDRAW.Graphic.13" ShapeID="_x0000_i1042" DrawAspect="Content" ObjectID="_1792498578" r:id="rId27"/>
              </w:object>
            </w:r>
            <w:r w:rsidR="00C8052C">
              <w:rPr>
                <w:noProof/>
                <w:webHidden/>
              </w:rPr>
              <w:tab/>
            </w:r>
            <w:r>
              <w:rPr>
                <w:noProof/>
                <w:webHidden/>
              </w:rPr>
              <w:fldChar w:fldCharType="begin"/>
            </w:r>
            <w:r w:rsidR="00C8052C">
              <w:rPr>
                <w:noProof/>
                <w:webHidden/>
              </w:rPr>
              <w:instrText xml:space="preserve"> PAGEREF _Toc181778172 \h </w:instrText>
            </w:r>
            <w:r>
              <w:rPr>
                <w:noProof/>
                <w:webHidden/>
              </w:rPr>
            </w:r>
            <w:r>
              <w:rPr>
                <w:noProof/>
                <w:webHidden/>
              </w:rPr>
              <w:fldChar w:fldCharType="separate"/>
            </w:r>
            <w:r w:rsidR="00C8052C">
              <w:rPr>
                <w:noProof/>
                <w:webHidden/>
              </w:rPr>
              <w:t>31</w:t>
            </w:r>
            <w:r>
              <w:rPr>
                <w:noProof/>
                <w:webHidden/>
              </w:rPr>
              <w:fldChar w:fldCharType="end"/>
            </w:r>
          </w:hyperlink>
        </w:p>
        <w:p w:rsidR="00C8052C" w:rsidRDefault="008F04AC">
          <w:pPr>
            <w:pStyle w:val="Sumrio2"/>
            <w:rPr>
              <w:rFonts w:asciiTheme="minorHAnsi" w:hAnsiTheme="minorHAnsi" w:cstheme="minorBidi"/>
              <w:smallCaps w:val="0"/>
              <w:kern w:val="2"/>
              <w:sz w:val="22"/>
              <w:szCs w:val="22"/>
            </w:rPr>
          </w:pPr>
          <w:hyperlink w:anchor="_Toc181778173" w:history="1">
            <w:r w:rsidR="00C8052C" w:rsidRPr="000031A1">
              <w:rPr>
                <w:rStyle w:val="Hyperlink"/>
                <w:b/>
              </w:rPr>
              <w:t>Perfil de Investidor do RPPS</w:t>
            </w:r>
            <w:r w:rsidR="00C8052C">
              <w:rPr>
                <w:webHidden/>
              </w:rPr>
              <w:tab/>
            </w:r>
            <w:r>
              <w:rPr>
                <w:webHidden/>
              </w:rPr>
              <w:fldChar w:fldCharType="begin"/>
            </w:r>
            <w:r w:rsidR="00C8052C">
              <w:rPr>
                <w:webHidden/>
              </w:rPr>
              <w:instrText xml:space="preserve"> PAGEREF _Toc181778173 \h </w:instrText>
            </w:r>
            <w:r>
              <w:rPr>
                <w:webHidden/>
              </w:rPr>
            </w:r>
            <w:r>
              <w:rPr>
                <w:webHidden/>
              </w:rPr>
              <w:fldChar w:fldCharType="separate"/>
            </w:r>
            <w:r w:rsidR="00C8052C">
              <w:rPr>
                <w:webHidden/>
              </w:rPr>
              <w:t>31</w:t>
            </w:r>
            <w:r>
              <w:rPr>
                <w:webHidden/>
              </w:rPr>
              <w:fldChar w:fldCharType="end"/>
            </w:r>
          </w:hyperlink>
        </w:p>
        <w:p w:rsidR="00C8052C" w:rsidRDefault="008F04AC">
          <w:pPr>
            <w:pStyle w:val="Sumrio2"/>
            <w:rPr>
              <w:rFonts w:asciiTheme="minorHAnsi" w:hAnsiTheme="minorHAnsi" w:cstheme="minorBidi"/>
              <w:smallCaps w:val="0"/>
              <w:kern w:val="2"/>
              <w:sz w:val="22"/>
              <w:szCs w:val="22"/>
            </w:rPr>
          </w:pPr>
          <w:hyperlink w:anchor="_Toc181778174" w:history="1">
            <w:r w:rsidR="00C8052C" w:rsidRPr="000031A1">
              <w:rPr>
                <w:rStyle w:val="Hyperlink"/>
                <w:b/>
              </w:rPr>
              <w:t>Plano de Contingência para situações de crise no mercado financeiro</w:t>
            </w:r>
            <w:r w:rsidR="00C8052C">
              <w:rPr>
                <w:webHidden/>
              </w:rPr>
              <w:tab/>
            </w:r>
            <w:r>
              <w:rPr>
                <w:webHidden/>
              </w:rPr>
              <w:fldChar w:fldCharType="begin"/>
            </w:r>
            <w:r w:rsidR="00C8052C">
              <w:rPr>
                <w:webHidden/>
              </w:rPr>
              <w:instrText xml:space="preserve"> PAGEREF _Toc181778174 \h </w:instrText>
            </w:r>
            <w:r>
              <w:rPr>
                <w:webHidden/>
              </w:rPr>
            </w:r>
            <w:r>
              <w:rPr>
                <w:webHidden/>
              </w:rPr>
              <w:fldChar w:fldCharType="separate"/>
            </w:r>
            <w:r w:rsidR="00C8052C">
              <w:rPr>
                <w:webHidden/>
              </w:rPr>
              <w:t>32</w:t>
            </w:r>
            <w:r>
              <w:rPr>
                <w:webHidden/>
              </w:rPr>
              <w:fldChar w:fldCharType="end"/>
            </w:r>
          </w:hyperlink>
        </w:p>
        <w:p w:rsidR="00C8052C" w:rsidRDefault="008F04AC">
          <w:pPr>
            <w:pStyle w:val="Sumrio1"/>
            <w:tabs>
              <w:tab w:val="right" w:leader="dot" w:pos="9061"/>
            </w:tabs>
            <w:rPr>
              <w:b w:val="0"/>
              <w:bCs w:val="0"/>
              <w:caps w:val="0"/>
              <w:noProof/>
              <w:kern w:val="2"/>
              <w:sz w:val="22"/>
              <w:szCs w:val="22"/>
            </w:rPr>
          </w:pPr>
          <w:hyperlink w:anchor="_Toc181778175" w:history="1">
            <w:r w:rsidR="00C8052C" w:rsidRPr="00E4782B">
              <w:rPr>
                <w:noProof/>
              </w:rPr>
              <w:object w:dxaOrig="2425" w:dyaOrig="2598">
                <v:shape id="_x0000_i1043" type="#_x0000_t75" style="width:9.4pt;height:8.15pt" o:ole="">
                  <v:imagedata r:id="rId8" o:title=""/>
                </v:shape>
                <o:OLEObject Type="Embed" ProgID="CorelDRAW.Graphic.13" ShapeID="_x0000_i1043" DrawAspect="Content" ObjectID="_1792498579" r:id="rId28"/>
              </w:object>
            </w:r>
            <w:r w:rsidR="00C8052C" w:rsidRPr="000031A1">
              <w:rPr>
                <w:rStyle w:val="Hyperlink"/>
                <w:rFonts w:ascii="Tahoma" w:hAnsi="Tahoma" w:cs="Tahoma"/>
                <w:noProof/>
              </w:rPr>
              <w:t xml:space="preserve">DIRETRIZES PARA ALOCAÇÃO DOS RECURSOS </w:t>
            </w:r>
            <w:r w:rsidR="00C8052C" w:rsidRPr="00E8601E">
              <w:rPr>
                <w:noProof/>
              </w:rPr>
              <w:object w:dxaOrig="3163" w:dyaOrig="3187">
                <v:shape id="_x0000_i1044" type="#_x0000_t75" style="width:21.9pt;height:23.15pt" o:ole="">
                  <v:imagedata r:id="rId10" o:title=""/>
                </v:shape>
                <o:OLEObject Type="Embed" ProgID="CorelDRAW.Graphic.13" ShapeID="_x0000_i1044" DrawAspect="Content" ObjectID="_1792498580" r:id="rId29"/>
              </w:object>
            </w:r>
            <w:r w:rsidR="00C8052C">
              <w:rPr>
                <w:noProof/>
                <w:webHidden/>
              </w:rPr>
              <w:tab/>
            </w:r>
            <w:r>
              <w:rPr>
                <w:noProof/>
                <w:webHidden/>
              </w:rPr>
              <w:fldChar w:fldCharType="begin"/>
            </w:r>
            <w:r w:rsidR="00C8052C">
              <w:rPr>
                <w:noProof/>
                <w:webHidden/>
              </w:rPr>
              <w:instrText xml:space="preserve"> PAGEREF _Toc181778175 \h </w:instrText>
            </w:r>
            <w:r>
              <w:rPr>
                <w:noProof/>
                <w:webHidden/>
              </w:rPr>
            </w:r>
            <w:r>
              <w:rPr>
                <w:noProof/>
                <w:webHidden/>
              </w:rPr>
              <w:fldChar w:fldCharType="separate"/>
            </w:r>
            <w:r w:rsidR="00C8052C">
              <w:rPr>
                <w:noProof/>
                <w:webHidden/>
              </w:rPr>
              <w:t>34</w:t>
            </w:r>
            <w:r>
              <w:rPr>
                <w:noProof/>
                <w:webHidden/>
              </w:rPr>
              <w:fldChar w:fldCharType="end"/>
            </w:r>
          </w:hyperlink>
        </w:p>
        <w:p w:rsidR="00C8052C" w:rsidRDefault="008F04AC">
          <w:pPr>
            <w:pStyle w:val="Sumrio2"/>
            <w:rPr>
              <w:rFonts w:asciiTheme="minorHAnsi" w:hAnsiTheme="minorHAnsi" w:cstheme="minorBidi"/>
              <w:smallCaps w:val="0"/>
              <w:kern w:val="2"/>
              <w:sz w:val="22"/>
              <w:szCs w:val="22"/>
            </w:rPr>
          </w:pPr>
          <w:hyperlink w:anchor="_Toc181778176" w:history="1">
            <w:r w:rsidR="00C8052C" w:rsidRPr="000031A1">
              <w:rPr>
                <w:rStyle w:val="Hyperlink"/>
                <w:b/>
              </w:rPr>
              <w:t>Das Diretrizes</w:t>
            </w:r>
            <w:r w:rsidR="00C8052C">
              <w:rPr>
                <w:webHidden/>
              </w:rPr>
              <w:tab/>
            </w:r>
            <w:r>
              <w:rPr>
                <w:webHidden/>
              </w:rPr>
              <w:fldChar w:fldCharType="begin"/>
            </w:r>
            <w:r w:rsidR="00C8052C">
              <w:rPr>
                <w:webHidden/>
              </w:rPr>
              <w:instrText xml:space="preserve"> PAGEREF _Toc181778176 \h </w:instrText>
            </w:r>
            <w:r>
              <w:rPr>
                <w:webHidden/>
              </w:rPr>
            </w:r>
            <w:r>
              <w:rPr>
                <w:webHidden/>
              </w:rPr>
              <w:fldChar w:fldCharType="separate"/>
            </w:r>
            <w:r w:rsidR="00C8052C">
              <w:rPr>
                <w:webHidden/>
              </w:rPr>
              <w:t>34</w:t>
            </w:r>
            <w:r>
              <w:rPr>
                <w:webHidden/>
              </w:rPr>
              <w:fldChar w:fldCharType="end"/>
            </w:r>
          </w:hyperlink>
        </w:p>
        <w:p w:rsidR="00C8052C" w:rsidRDefault="008F04AC">
          <w:pPr>
            <w:pStyle w:val="Sumrio2"/>
            <w:rPr>
              <w:rFonts w:asciiTheme="minorHAnsi" w:hAnsiTheme="minorHAnsi" w:cstheme="minorBidi"/>
              <w:smallCaps w:val="0"/>
              <w:kern w:val="2"/>
              <w:sz w:val="22"/>
              <w:szCs w:val="22"/>
            </w:rPr>
          </w:pPr>
          <w:hyperlink w:anchor="_Toc181778177" w:history="1">
            <w:r w:rsidR="00C8052C" w:rsidRPr="000031A1">
              <w:rPr>
                <w:rStyle w:val="Hyperlink"/>
                <w:b/>
              </w:rPr>
              <w:t>Competência dos Órgãos envolvidos na Gestão dos recursos do RPPS</w:t>
            </w:r>
            <w:r w:rsidR="00C8052C">
              <w:rPr>
                <w:webHidden/>
              </w:rPr>
              <w:tab/>
            </w:r>
            <w:r>
              <w:rPr>
                <w:webHidden/>
              </w:rPr>
              <w:fldChar w:fldCharType="begin"/>
            </w:r>
            <w:r w:rsidR="00C8052C">
              <w:rPr>
                <w:webHidden/>
              </w:rPr>
              <w:instrText xml:space="preserve"> PAGEREF _Toc181778177 \h </w:instrText>
            </w:r>
            <w:r>
              <w:rPr>
                <w:webHidden/>
              </w:rPr>
            </w:r>
            <w:r>
              <w:rPr>
                <w:webHidden/>
              </w:rPr>
              <w:fldChar w:fldCharType="separate"/>
            </w:r>
            <w:r w:rsidR="00C8052C">
              <w:rPr>
                <w:webHidden/>
              </w:rPr>
              <w:t>34</w:t>
            </w:r>
            <w:r>
              <w:rPr>
                <w:webHidden/>
              </w:rPr>
              <w:fldChar w:fldCharType="end"/>
            </w:r>
          </w:hyperlink>
        </w:p>
        <w:p w:rsidR="00C8052C" w:rsidRDefault="008F04AC">
          <w:pPr>
            <w:pStyle w:val="Sumrio2"/>
            <w:rPr>
              <w:rFonts w:asciiTheme="minorHAnsi" w:hAnsiTheme="minorHAnsi" w:cstheme="minorBidi"/>
              <w:smallCaps w:val="0"/>
              <w:kern w:val="2"/>
              <w:sz w:val="22"/>
              <w:szCs w:val="22"/>
            </w:rPr>
          </w:pPr>
          <w:hyperlink w:anchor="_Toc181778178" w:history="1">
            <w:r w:rsidR="00C8052C" w:rsidRPr="000031A1">
              <w:rPr>
                <w:rStyle w:val="Hyperlink"/>
                <w:b/>
              </w:rPr>
              <w:t>Objetivo de Alocação</w:t>
            </w:r>
            <w:r w:rsidR="00C8052C">
              <w:rPr>
                <w:webHidden/>
              </w:rPr>
              <w:tab/>
            </w:r>
            <w:r>
              <w:rPr>
                <w:webHidden/>
              </w:rPr>
              <w:fldChar w:fldCharType="begin"/>
            </w:r>
            <w:r w:rsidR="00C8052C">
              <w:rPr>
                <w:webHidden/>
              </w:rPr>
              <w:instrText xml:space="preserve"> PAGEREF _Toc181778178 \h </w:instrText>
            </w:r>
            <w:r>
              <w:rPr>
                <w:webHidden/>
              </w:rPr>
            </w:r>
            <w:r>
              <w:rPr>
                <w:webHidden/>
              </w:rPr>
              <w:fldChar w:fldCharType="separate"/>
            </w:r>
            <w:r w:rsidR="00C8052C">
              <w:rPr>
                <w:webHidden/>
              </w:rPr>
              <w:t>35</w:t>
            </w:r>
            <w:r>
              <w:rPr>
                <w:webHidden/>
              </w:rPr>
              <w:fldChar w:fldCharType="end"/>
            </w:r>
          </w:hyperlink>
        </w:p>
        <w:p w:rsidR="00C8052C" w:rsidRDefault="008F04AC">
          <w:pPr>
            <w:pStyle w:val="Sumrio2"/>
            <w:rPr>
              <w:rFonts w:asciiTheme="minorHAnsi" w:hAnsiTheme="minorHAnsi" w:cstheme="minorBidi"/>
              <w:smallCaps w:val="0"/>
              <w:kern w:val="2"/>
              <w:sz w:val="22"/>
              <w:szCs w:val="22"/>
            </w:rPr>
          </w:pPr>
          <w:hyperlink w:anchor="_Toc181778179" w:history="1">
            <w:r w:rsidR="00C8052C" w:rsidRPr="000031A1">
              <w:rPr>
                <w:rStyle w:val="Hyperlink"/>
              </w:rPr>
              <w:t>Das Alocações dos Recursos</w:t>
            </w:r>
            <w:r w:rsidR="00C8052C">
              <w:rPr>
                <w:webHidden/>
              </w:rPr>
              <w:tab/>
            </w:r>
            <w:r>
              <w:rPr>
                <w:webHidden/>
              </w:rPr>
              <w:fldChar w:fldCharType="begin"/>
            </w:r>
            <w:r w:rsidR="00C8052C">
              <w:rPr>
                <w:webHidden/>
              </w:rPr>
              <w:instrText xml:space="preserve"> PAGEREF _Toc181778179 \h </w:instrText>
            </w:r>
            <w:r>
              <w:rPr>
                <w:webHidden/>
              </w:rPr>
            </w:r>
            <w:r>
              <w:rPr>
                <w:webHidden/>
              </w:rPr>
              <w:fldChar w:fldCharType="separate"/>
            </w:r>
            <w:r w:rsidR="00C8052C">
              <w:rPr>
                <w:webHidden/>
              </w:rPr>
              <w:t>36</w:t>
            </w:r>
            <w:r>
              <w:rPr>
                <w:webHidden/>
              </w:rPr>
              <w:fldChar w:fldCharType="end"/>
            </w:r>
          </w:hyperlink>
        </w:p>
        <w:p w:rsidR="00C8052C" w:rsidRDefault="008F04AC">
          <w:pPr>
            <w:pStyle w:val="Sumrio3"/>
            <w:rPr>
              <w:rFonts w:asciiTheme="minorHAnsi" w:hAnsiTheme="minorHAnsi" w:cstheme="minorBidi"/>
              <w:iCs w:val="0"/>
              <w:kern w:val="2"/>
              <w:sz w:val="22"/>
              <w:szCs w:val="22"/>
            </w:rPr>
          </w:pPr>
          <w:hyperlink w:anchor="_Toc181778180" w:history="1">
            <w:r w:rsidR="00C8052C" w:rsidRPr="000031A1">
              <w:rPr>
                <w:rStyle w:val="Hyperlink"/>
              </w:rPr>
              <w:t>Dos Segmentos</w:t>
            </w:r>
            <w:r w:rsidR="00C8052C">
              <w:rPr>
                <w:webHidden/>
              </w:rPr>
              <w:tab/>
            </w:r>
            <w:r>
              <w:rPr>
                <w:webHidden/>
              </w:rPr>
              <w:fldChar w:fldCharType="begin"/>
            </w:r>
            <w:r w:rsidR="00C8052C">
              <w:rPr>
                <w:webHidden/>
              </w:rPr>
              <w:instrText xml:space="preserve"> PAGEREF _Toc181778180 \h </w:instrText>
            </w:r>
            <w:r>
              <w:rPr>
                <w:webHidden/>
              </w:rPr>
            </w:r>
            <w:r>
              <w:rPr>
                <w:webHidden/>
              </w:rPr>
              <w:fldChar w:fldCharType="separate"/>
            </w:r>
            <w:r w:rsidR="00C8052C">
              <w:rPr>
                <w:webHidden/>
              </w:rPr>
              <w:t>36</w:t>
            </w:r>
            <w:r>
              <w:rPr>
                <w:webHidden/>
              </w:rPr>
              <w:fldChar w:fldCharType="end"/>
            </w:r>
          </w:hyperlink>
        </w:p>
        <w:p w:rsidR="00C8052C" w:rsidRDefault="008F04AC">
          <w:pPr>
            <w:pStyle w:val="Sumrio3"/>
            <w:rPr>
              <w:rFonts w:asciiTheme="minorHAnsi" w:hAnsiTheme="minorHAnsi" w:cstheme="minorBidi"/>
              <w:iCs w:val="0"/>
              <w:kern w:val="2"/>
              <w:sz w:val="22"/>
              <w:szCs w:val="22"/>
            </w:rPr>
          </w:pPr>
          <w:hyperlink w:anchor="_Toc181778181" w:history="1">
            <w:r w:rsidR="00C8052C" w:rsidRPr="000031A1">
              <w:rPr>
                <w:rStyle w:val="Hyperlink"/>
              </w:rPr>
              <w:t>Dos Limites Gerais</w:t>
            </w:r>
            <w:r w:rsidR="00C8052C">
              <w:rPr>
                <w:webHidden/>
              </w:rPr>
              <w:tab/>
            </w:r>
            <w:r>
              <w:rPr>
                <w:webHidden/>
              </w:rPr>
              <w:fldChar w:fldCharType="begin"/>
            </w:r>
            <w:r w:rsidR="00C8052C">
              <w:rPr>
                <w:webHidden/>
              </w:rPr>
              <w:instrText xml:space="preserve"> PAGEREF _Toc181778181 \h </w:instrText>
            </w:r>
            <w:r>
              <w:rPr>
                <w:webHidden/>
              </w:rPr>
            </w:r>
            <w:r>
              <w:rPr>
                <w:webHidden/>
              </w:rPr>
              <w:fldChar w:fldCharType="separate"/>
            </w:r>
            <w:r w:rsidR="00C8052C">
              <w:rPr>
                <w:webHidden/>
              </w:rPr>
              <w:t>36</w:t>
            </w:r>
            <w:r>
              <w:rPr>
                <w:webHidden/>
              </w:rPr>
              <w:fldChar w:fldCharType="end"/>
            </w:r>
          </w:hyperlink>
        </w:p>
        <w:p w:rsidR="00C8052C" w:rsidRDefault="008F04AC">
          <w:pPr>
            <w:pStyle w:val="Sumrio3"/>
            <w:rPr>
              <w:rFonts w:asciiTheme="minorHAnsi" w:hAnsiTheme="minorHAnsi" w:cstheme="minorBidi"/>
              <w:iCs w:val="0"/>
              <w:kern w:val="2"/>
              <w:sz w:val="22"/>
              <w:szCs w:val="22"/>
            </w:rPr>
          </w:pPr>
          <w:hyperlink w:anchor="_Toc181778182" w:history="1">
            <w:r w:rsidR="00C8052C" w:rsidRPr="000031A1">
              <w:rPr>
                <w:rStyle w:val="Hyperlink"/>
              </w:rPr>
              <w:t>Da Avaliação de Desempenho das Aplicações</w:t>
            </w:r>
            <w:r w:rsidR="00C8052C">
              <w:rPr>
                <w:webHidden/>
              </w:rPr>
              <w:tab/>
            </w:r>
            <w:r>
              <w:rPr>
                <w:webHidden/>
              </w:rPr>
              <w:fldChar w:fldCharType="begin"/>
            </w:r>
            <w:r w:rsidR="00C8052C">
              <w:rPr>
                <w:webHidden/>
              </w:rPr>
              <w:instrText xml:space="preserve"> PAGEREF _Toc181778182 \h </w:instrText>
            </w:r>
            <w:r>
              <w:rPr>
                <w:webHidden/>
              </w:rPr>
            </w:r>
            <w:r>
              <w:rPr>
                <w:webHidden/>
              </w:rPr>
              <w:fldChar w:fldCharType="separate"/>
            </w:r>
            <w:r w:rsidR="00C8052C">
              <w:rPr>
                <w:webHidden/>
              </w:rPr>
              <w:t>37</w:t>
            </w:r>
            <w:r>
              <w:rPr>
                <w:webHidden/>
              </w:rPr>
              <w:fldChar w:fldCharType="end"/>
            </w:r>
          </w:hyperlink>
        </w:p>
        <w:p w:rsidR="00C8052C" w:rsidRDefault="008F04AC">
          <w:pPr>
            <w:pStyle w:val="Sumrio3"/>
            <w:rPr>
              <w:rFonts w:asciiTheme="minorHAnsi" w:hAnsiTheme="minorHAnsi" w:cstheme="minorBidi"/>
              <w:iCs w:val="0"/>
              <w:kern w:val="2"/>
              <w:sz w:val="22"/>
              <w:szCs w:val="22"/>
            </w:rPr>
          </w:pPr>
          <w:hyperlink w:anchor="_Toc181778183" w:history="1">
            <w:r w:rsidR="00C8052C" w:rsidRPr="000031A1">
              <w:rPr>
                <w:rStyle w:val="Hyperlink"/>
              </w:rPr>
              <w:t>Dos Riscos de Mercado e Crédito</w:t>
            </w:r>
            <w:r w:rsidR="00C8052C">
              <w:rPr>
                <w:webHidden/>
              </w:rPr>
              <w:tab/>
            </w:r>
            <w:r>
              <w:rPr>
                <w:webHidden/>
              </w:rPr>
              <w:fldChar w:fldCharType="begin"/>
            </w:r>
            <w:r w:rsidR="00C8052C">
              <w:rPr>
                <w:webHidden/>
              </w:rPr>
              <w:instrText xml:space="preserve"> PAGEREF _Toc181778183 \h </w:instrText>
            </w:r>
            <w:r>
              <w:rPr>
                <w:webHidden/>
              </w:rPr>
            </w:r>
            <w:r>
              <w:rPr>
                <w:webHidden/>
              </w:rPr>
              <w:fldChar w:fldCharType="separate"/>
            </w:r>
            <w:r w:rsidR="00C8052C">
              <w:rPr>
                <w:webHidden/>
              </w:rPr>
              <w:t>37</w:t>
            </w:r>
            <w:r>
              <w:rPr>
                <w:webHidden/>
              </w:rPr>
              <w:fldChar w:fldCharType="end"/>
            </w:r>
          </w:hyperlink>
        </w:p>
        <w:p w:rsidR="00C8052C" w:rsidRDefault="008F04AC">
          <w:pPr>
            <w:pStyle w:val="Sumrio3"/>
            <w:rPr>
              <w:rFonts w:asciiTheme="minorHAnsi" w:hAnsiTheme="minorHAnsi" w:cstheme="minorBidi"/>
              <w:iCs w:val="0"/>
              <w:kern w:val="2"/>
              <w:sz w:val="22"/>
              <w:szCs w:val="22"/>
            </w:rPr>
          </w:pPr>
          <w:hyperlink w:anchor="_Toc181778184" w:history="1">
            <w:r w:rsidR="00C8052C" w:rsidRPr="000031A1">
              <w:rPr>
                <w:rStyle w:val="Hyperlink"/>
              </w:rPr>
              <w:t>Do Credenciamento</w:t>
            </w:r>
            <w:r w:rsidR="00C8052C">
              <w:rPr>
                <w:webHidden/>
              </w:rPr>
              <w:tab/>
            </w:r>
            <w:r>
              <w:rPr>
                <w:webHidden/>
              </w:rPr>
              <w:fldChar w:fldCharType="begin"/>
            </w:r>
            <w:r w:rsidR="00C8052C">
              <w:rPr>
                <w:webHidden/>
              </w:rPr>
              <w:instrText xml:space="preserve"> PAGEREF _Toc181778184 \h </w:instrText>
            </w:r>
            <w:r>
              <w:rPr>
                <w:webHidden/>
              </w:rPr>
            </w:r>
            <w:r>
              <w:rPr>
                <w:webHidden/>
              </w:rPr>
              <w:fldChar w:fldCharType="separate"/>
            </w:r>
            <w:r w:rsidR="00C8052C">
              <w:rPr>
                <w:webHidden/>
              </w:rPr>
              <w:t>37</w:t>
            </w:r>
            <w:r>
              <w:rPr>
                <w:webHidden/>
              </w:rPr>
              <w:fldChar w:fldCharType="end"/>
            </w:r>
          </w:hyperlink>
        </w:p>
        <w:p w:rsidR="00C8052C" w:rsidRDefault="008F04AC">
          <w:pPr>
            <w:pStyle w:val="Sumrio3"/>
            <w:rPr>
              <w:rFonts w:asciiTheme="minorHAnsi" w:hAnsiTheme="minorHAnsi" w:cstheme="minorBidi"/>
              <w:iCs w:val="0"/>
              <w:kern w:val="2"/>
              <w:sz w:val="22"/>
              <w:szCs w:val="22"/>
            </w:rPr>
          </w:pPr>
          <w:hyperlink w:anchor="_Toc181778185" w:history="1">
            <w:r w:rsidR="00C8052C" w:rsidRPr="000031A1">
              <w:rPr>
                <w:rStyle w:val="Hyperlink"/>
              </w:rPr>
              <w:t>Da Seleção e Precificação de ativos</w:t>
            </w:r>
            <w:r w:rsidR="00C8052C">
              <w:rPr>
                <w:webHidden/>
              </w:rPr>
              <w:tab/>
            </w:r>
            <w:r>
              <w:rPr>
                <w:webHidden/>
              </w:rPr>
              <w:fldChar w:fldCharType="begin"/>
            </w:r>
            <w:r w:rsidR="00C8052C">
              <w:rPr>
                <w:webHidden/>
              </w:rPr>
              <w:instrText xml:space="preserve"> PAGEREF _Toc181778185 \h </w:instrText>
            </w:r>
            <w:r>
              <w:rPr>
                <w:webHidden/>
              </w:rPr>
            </w:r>
            <w:r>
              <w:rPr>
                <w:webHidden/>
              </w:rPr>
              <w:fldChar w:fldCharType="separate"/>
            </w:r>
            <w:r w:rsidR="00C8052C">
              <w:rPr>
                <w:webHidden/>
              </w:rPr>
              <w:t>38</w:t>
            </w:r>
            <w:r>
              <w:rPr>
                <w:webHidden/>
              </w:rPr>
              <w:fldChar w:fldCharType="end"/>
            </w:r>
          </w:hyperlink>
        </w:p>
        <w:p w:rsidR="00C8052C" w:rsidRDefault="008F04AC">
          <w:pPr>
            <w:pStyle w:val="Sumrio2"/>
            <w:rPr>
              <w:rFonts w:asciiTheme="minorHAnsi" w:hAnsiTheme="minorHAnsi" w:cstheme="minorBidi"/>
              <w:smallCaps w:val="0"/>
              <w:kern w:val="2"/>
              <w:sz w:val="22"/>
              <w:szCs w:val="22"/>
            </w:rPr>
          </w:pPr>
          <w:hyperlink w:anchor="_Toc181778186" w:history="1">
            <w:r w:rsidR="00C8052C" w:rsidRPr="000031A1">
              <w:rPr>
                <w:rStyle w:val="Hyperlink"/>
              </w:rPr>
              <w:t>Deliberações sobre novos Investimentos</w:t>
            </w:r>
            <w:r w:rsidR="00C8052C">
              <w:rPr>
                <w:webHidden/>
              </w:rPr>
              <w:tab/>
            </w:r>
            <w:r>
              <w:rPr>
                <w:webHidden/>
              </w:rPr>
              <w:fldChar w:fldCharType="begin"/>
            </w:r>
            <w:r w:rsidR="00C8052C">
              <w:rPr>
                <w:webHidden/>
              </w:rPr>
              <w:instrText xml:space="preserve"> PAGEREF _Toc181778186 \h </w:instrText>
            </w:r>
            <w:r>
              <w:rPr>
                <w:webHidden/>
              </w:rPr>
            </w:r>
            <w:r>
              <w:rPr>
                <w:webHidden/>
              </w:rPr>
              <w:fldChar w:fldCharType="separate"/>
            </w:r>
            <w:r w:rsidR="00C8052C">
              <w:rPr>
                <w:webHidden/>
              </w:rPr>
              <w:t>39</w:t>
            </w:r>
            <w:r>
              <w:rPr>
                <w:webHidden/>
              </w:rPr>
              <w:fldChar w:fldCharType="end"/>
            </w:r>
          </w:hyperlink>
        </w:p>
        <w:p w:rsidR="00C8052C" w:rsidRDefault="008F04AC">
          <w:pPr>
            <w:pStyle w:val="Sumrio1"/>
            <w:tabs>
              <w:tab w:val="right" w:leader="dot" w:pos="9061"/>
            </w:tabs>
            <w:rPr>
              <w:b w:val="0"/>
              <w:bCs w:val="0"/>
              <w:caps w:val="0"/>
              <w:noProof/>
              <w:kern w:val="2"/>
              <w:sz w:val="22"/>
              <w:szCs w:val="22"/>
            </w:rPr>
          </w:pPr>
          <w:hyperlink w:anchor="_Toc181778187" w:history="1">
            <w:r w:rsidR="00C8052C" w:rsidRPr="00E4782B">
              <w:rPr>
                <w:noProof/>
              </w:rPr>
              <w:object w:dxaOrig="2425" w:dyaOrig="2598">
                <v:shape id="_x0000_i1045" type="#_x0000_t75" style="width:9.4pt;height:8.15pt" o:ole="">
                  <v:imagedata r:id="rId8" o:title=""/>
                </v:shape>
                <o:OLEObject Type="Embed" ProgID="CorelDRAW.Graphic.13" ShapeID="_x0000_i1045" DrawAspect="Content" ObjectID="_1792498581" r:id="rId30"/>
              </w:object>
            </w:r>
            <w:r w:rsidR="00C8052C" w:rsidRPr="000031A1">
              <w:rPr>
                <w:rStyle w:val="Hyperlink"/>
                <w:rFonts w:ascii="Tahoma" w:hAnsi="Tahoma" w:cs="Tahoma"/>
                <w:noProof/>
              </w:rPr>
              <w:t xml:space="preserve">ESTRATÉGIA PARA ALOCAÇÃO DE RECURSOS </w:t>
            </w:r>
            <w:r w:rsidR="00C8052C" w:rsidRPr="00E8601E">
              <w:rPr>
                <w:noProof/>
              </w:rPr>
              <w:object w:dxaOrig="3163" w:dyaOrig="3187">
                <v:shape id="_x0000_i1046" type="#_x0000_t75" style="width:21.9pt;height:23.15pt" o:ole="">
                  <v:imagedata r:id="rId10" o:title=""/>
                </v:shape>
                <o:OLEObject Type="Embed" ProgID="CorelDRAW.Graphic.13" ShapeID="_x0000_i1046" DrawAspect="Content" ObjectID="_1792498582" r:id="rId31"/>
              </w:object>
            </w:r>
            <w:r w:rsidR="00C8052C">
              <w:rPr>
                <w:noProof/>
                <w:webHidden/>
              </w:rPr>
              <w:tab/>
            </w:r>
            <w:r>
              <w:rPr>
                <w:noProof/>
                <w:webHidden/>
              </w:rPr>
              <w:fldChar w:fldCharType="begin"/>
            </w:r>
            <w:r w:rsidR="00C8052C">
              <w:rPr>
                <w:noProof/>
                <w:webHidden/>
              </w:rPr>
              <w:instrText xml:space="preserve"> PAGEREF _Toc181778187 \h </w:instrText>
            </w:r>
            <w:r>
              <w:rPr>
                <w:noProof/>
                <w:webHidden/>
              </w:rPr>
            </w:r>
            <w:r>
              <w:rPr>
                <w:noProof/>
                <w:webHidden/>
              </w:rPr>
              <w:fldChar w:fldCharType="separate"/>
            </w:r>
            <w:r w:rsidR="00C8052C">
              <w:rPr>
                <w:noProof/>
                <w:webHidden/>
              </w:rPr>
              <w:t>40</w:t>
            </w:r>
            <w:r>
              <w:rPr>
                <w:noProof/>
                <w:webHidden/>
              </w:rPr>
              <w:fldChar w:fldCharType="end"/>
            </w:r>
          </w:hyperlink>
        </w:p>
        <w:p w:rsidR="00C8052C" w:rsidRDefault="008F04AC">
          <w:pPr>
            <w:pStyle w:val="Sumrio1"/>
            <w:tabs>
              <w:tab w:val="right" w:leader="dot" w:pos="9061"/>
            </w:tabs>
            <w:rPr>
              <w:b w:val="0"/>
              <w:bCs w:val="0"/>
              <w:caps w:val="0"/>
              <w:noProof/>
              <w:kern w:val="2"/>
              <w:sz w:val="22"/>
              <w:szCs w:val="22"/>
            </w:rPr>
          </w:pPr>
          <w:hyperlink w:anchor="_Toc181778188" w:history="1">
            <w:r w:rsidR="00C8052C" w:rsidRPr="00E4782B">
              <w:rPr>
                <w:noProof/>
              </w:rPr>
              <w:object w:dxaOrig="2425" w:dyaOrig="2598">
                <v:shape id="_x0000_i1047" type="#_x0000_t75" style="width:9.4pt;height:8.15pt" o:ole="">
                  <v:imagedata r:id="rId8" o:title=""/>
                </v:shape>
                <o:OLEObject Type="Embed" ProgID="CorelDRAW.Graphic.13" ShapeID="_x0000_i1047" DrawAspect="Content" ObjectID="_1792498583" r:id="rId32"/>
              </w:object>
            </w:r>
            <w:r w:rsidR="00C8052C" w:rsidRPr="000031A1">
              <w:rPr>
                <w:rStyle w:val="Hyperlink"/>
                <w:noProof/>
              </w:rPr>
              <w:t xml:space="preserve">VEDAÇÕES </w:t>
            </w:r>
            <w:r w:rsidR="00C8052C" w:rsidRPr="00E8601E">
              <w:rPr>
                <w:noProof/>
              </w:rPr>
              <w:object w:dxaOrig="3163" w:dyaOrig="3187">
                <v:shape id="_x0000_i1048" type="#_x0000_t75" style="width:21.9pt;height:23.15pt" o:ole="">
                  <v:imagedata r:id="rId10" o:title=""/>
                </v:shape>
                <o:OLEObject Type="Embed" ProgID="CorelDRAW.Graphic.13" ShapeID="_x0000_i1048" DrawAspect="Content" ObjectID="_1792498584" r:id="rId33"/>
              </w:object>
            </w:r>
            <w:r w:rsidR="00C8052C">
              <w:rPr>
                <w:noProof/>
                <w:webHidden/>
              </w:rPr>
              <w:tab/>
            </w:r>
            <w:r>
              <w:rPr>
                <w:noProof/>
                <w:webHidden/>
              </w:rPr>
              <w:fldChar w:fldCharType="begin"/>
            </w:r>
            <w:r w:rsidR="00C8052C">
              <w:rPr>
                <w:noProof/>
                <w:webHidden/>
              </w:rPr>
              <w:instrText xml:space="preserve"> PAGEREF _Toc181778188 \h </w:instrText>
            </w:r>
            <w:r>
              <w:rPr>
                <w:noProof/>
                <w:webHidden/>
              </w:rPr>
            </w:r>
            <w:r>
              <w:rPr>
                <w:noProof/>
                <w:webHidden/>
              </w:rPr>
              <w:fldChar w:fldCharType="separate"/>
            </w:r>
            <w:r w:rsidR="00C8052C">
              <w:rPr>
                <w:noProof/>
                <w:webHidden/>
              </w:rPr>
              <w:t>41</w:t>
            </w:r>
            <w:r>
              <w:rPr>
                <w:noProof/>
                <w:webHidden/>
              </w:rPr>
              <w:fldChar w:fldCharType="end"/>
            </w:r>
          </w:hyperlink>
        </w:p>
        <w:p w:rsidR="00C8052C" w:rsidRDefault="008F04AC">
          <w:pPr>
            <w:pStyle w:val="Sumrio1"/>
            <w:tabs>
              <w:tab w:val="right" w:leader="dot" w:pos="9061"/>
            </w:tabs>
            <w:rPr>
              <w:b w:val="0"/>
              <w:bCs w:val="0"/>
              <w:caps w:val="0"/>
              <w:noProof/>
              <w:kern w:val="2"/>
              <w:sz w:val="22"/>
              <w:szCs w:val="22"/>
            </w:rPr>
          </w:pPr>
          <w:hyperlink w:anchor="_Toc181778189" w:history="1">
            <w:r w:rsidR="00C8052C" w:rsidRPr="00E4782B">
              <w:rPr>
                <w:noProof/>
              </w:rPr>
              <w:object w:dxaOrig="2425" w:dyaOrig="2598">
                <v:shape id="_x0000_i1049" type="#_x0000_t75" style="width:9.4pt;height:8.15pt" o:ole="">
                  <v:imagedata r:id="rId8" o:title=""/>
                </v:shape>
                <o:OLEObject Type="Embed" ProgID="CorelDRAW.Graphic.13" ShapeID="_x0000_i1049" DrawAspect="Content" ObjectID="_1792498585" r:id="rId34"/>
              </w:object>
            </w:r>
            <w:r w:rsidR="00C8052C" w:rsidRPr="000031A1">
              <w:rPr>
                <w:rStyle w:val="Hyperlink"/>
                <w:noProof/>
              </w:rPr>
              <w:t>DISPOSIÇÕES GERAIS</w:t>
            </w:r>
            <w:r w:rsidR="00C8052C" w:rsidRPr="00E8601E">
              <w:rPr>
                <w:noProof/>
                <w:sz w:val="22"/>
              </w:rPr>
              <w:object w:dxaOrig="3163" w:dyaOrig="3187">
                <v:shape id="_x0000_i1050" type="#_x0000_t75" style="width:21.9pt;height:23.15pt" o:ole="">
                  <v:imagedata r:id="rId10" o:title=""/>
                </v:shape>
                <o:OLEObject Type="Embed" ProgID="CorelDRAW.Graphic.13" ShapeID="_x0000_i1050" DrawAspect="Content" ObjectID="_1792498586" r:id="rId35"/>
              </w:object>
            </w:r>
            <w:r w:rsidR="00C8052C">
              <w:rPr>
                <w:noProof/>
                <w:webHidden/>
              </w:rPr>
              <w:tab/>
            </w:r>
            <w:r>
              <w:rPr>
                <w:noProof/>
                <w:webHidden/>
              </w:rPr>
              <w:fldChar w:fldCharType="begin"/>
            </w:r>
            <w:r w:rsidR="00C8052C">
              <w:rPr>
                <w:noProof/>
                <w:webHidden/>
              </w:rPr>
              <w:instrText xml:space="preserve"> PAGEREF _Toc181778189 \h </w:instrText>
            </w:r>
            <w:r>
              <w:rPr>
                <w:noProof/>
                <w:webHidden/>
              </w:rPr>
            </w:r>
            <w:r>
              <w:rPr>
                <w:noProof/>
                <w:webHidden/>
              </w:rPr>
              <w:fldChar w:fldCharType="separate"/>
            </w:r>
            <w:r w:rsidR="00C8052C">
              <w:rPr>
                <w:noProof/>
                <w:webHidden/>
              </w:rPr>
              <w:t>42</w:t>
            </w:r>
            <w:r>
              <w:rPr>
                <w:noProof/>
                <w:webHidden/>
              </w:rPr>
              <w:fldChar w:fldCharType="end"/>
            </w:r>
          </w:hyperlink>
        </w:p>
        <w:p w:rsidR="00C8052C" w:rsidRDefault="008F04AC">
          <w:pPr>
            <w:pStyle w:val="Sumrio2"/>
            <w:rPr>
              <w:rFonts w:asciiTheme="minorHAnsi" w:hAnsiTheme="minorHAnsi" w:cstheme="minorBidi"/>
              <w:smallCaps w:val="0"/>
              <w:kern w:val="2"/>
              <w:sz w:val="22"/>
              <w:szCs w:val="22"/>
            </w:rPr>
          </w:pPr>
          <w:hyperlink w:anchor="_Toc181778190" w:history="1">
            <w:r w:rsidR="00C8052C" w:rsidRPr="00E4782B">
              <w:object w:dxaOrig="2425" w:dyaOrig="2598">
                <v:shape id="_x0000_i1051" type="#_x0000_t75" style="width:9.4pt;height:8.15pt" o:ole="">
                  <v:imagedata r:id="rId8" o:title=""/>
                </v:shape>
                <o:OLEObject Type="Embed" ProgID="CorelDRAW.Graphic.13" ShapeID="_x0000_i1051" DrawAspect="Content" ObjectID="_1792498587" r:id="rId36"/>
              </w:object>
            </w:r>
            <w:r w:rsidR="00C8052C" w:rsidRPr="000031A1">
              <w:rPr>
                <w:rStyle w:val="Hyperlink"/>
                <w:b/>
              </w:rPr>
              <w:t>ANEXO I</w:t>
            </w:r>
            <w:r w:rsidR="00C8052C" w:rsidRPr="00E8601E">
              <w:rPr>
                <w:sz w:val="22"/>
              </w:rPr>
              <w:object w:dxaOrig="3163" w:dyaOrig="3187">
                <v:shape id="_x0000_i1052" type="#_x0000_t75" style="width:21.9pt;height:23.15pt" o:ole="">
                  <v:imagedata r:id="rId10" o:title=""/>
                </v:shape>
                <o:OLEObject Type="Embed" ProgID="CorelDRAW.Graphic.13" ShapeID="_x0000_i1052" DrawAspect="Content" ObjectID="_1792498588" r:id="rId37"/>
              </w:object>
            </w:r>
            <w:r w:rsidR="00C8052C">
              <w:rPr>
                <w:webHidden/>
              </w:rPr>
              <w:tab/>
            </w:r>
            <w:r>
              <w:rPr>
                <w:webHidden/>
              </w:rPr>
              <w:fldChar w:fldCharType="begin"/>
            </w:r>
            <w:r w:rsidR="00C8052C">
              <w:rPr>
                <w:webHidden/>
              </w:rPr>
              <w:instrText xml:space="preserve"> PAGEREF _Toc181778190 \h </w:instrText>
            </w:r>
            <w:r>
              <w:rPr>
                <w:webHidden/>
              </w:rPr>
            </w:r>
            <w:r>
              <w:rPr>
                <w:webHidden/>
              </w:rPr>
              <w:fldChar w:fldCharType="separate"/>
            </w:r>
            <w:r w:rsidR="00C8052C">
              <w:rPr>
                <w:webHidden/>
              </w:rPr>
              <w:t>44</w:t>
            </w:r>
            <w:r>
              <w:rPr>
                <w:webHidden/>
              </w:rPr>
              <w:fldChar w:fldCharType="end"/>
            </w:r>
          </w:hyperlink>
        </w:p>
        <w:p w:rsidR="000C021C" w:rsidRDefault="008F04AC">
          <w:r>
            <w:rPr>
              <w:b/>
              <w:bCs/>
            </w:rPr>
            <w:fldChar w:fldCharType="end"/>
          </w:r>
        </w:p>
      </w:sdtContent>
    </w:sdt>
    <w:p w:rsidR="000F7FA7" w:rsidRDefault="000F7FA7">
      <w:pPr>
        <w:rPr>
          <w:rFonts w:ascii="Tahoma" w:hAnsi="Tahoma" w:cs="Tahoma"/>
          <w:b/>
          <w:bCs/>
          <w:caps/>
          <w:noProof/>
          <w:color w:val="002060"/>
          <w:sz w:val="20"/>
          <w:szCs w:val="20"/>
        </w:rPr>
      </w:pPr>
      <w:r>
        <w:rPr>
          <w:rFonts w:ascii="Tahoma" w:hAnsi="Tahoma" w:cs="Tahoma"/>
          <w:b/>
          <w:bCs/>
          <w:caps/>
          <w:noProof/>
          <w:color w:val="002060"/>
          <w:sz w:val="20"/>
          <w:szCs w:val="20"/>
        </w:rPr>
        <w:br w:type="page"/>
      </w:r>
    </w:p>
    <w:bookmarkStart w:id="0" w:name="_Toc181778150"/>
    <w:p w:rsidR="00465C63" w:rsidRPr="00D63B08" w:rsidRDefault="00465C63" w:rsidP="00EC5FD6">
      <w:pPr>
        <w:spacing w:after="120"/>
        <w:jc w:val="both"/>
        <w:outlineLvl w:val="0"/>
      </w:pPr>
      <w:r w:rsidRPr="00E4782B">
        <w:object w:dxaOrig="2425" w:dyaOrig="2598">
          <v:shape id="_x0000_i1053" type="#_x0000_t75" style="width:9.4pt;height:8.15pt" o:ole="">
            <v:imagedata r:id="rId8" o:title=""/>
          </v:shape>
          <o:OLEObject Type="Embed" ProgID="CorelDRAW.Graphic.13" ShapeID="_x0000_i1053" DrawAspect="Content" ObjectID="_1792498589" r:id="rId38"/>
        </w:object>
      </w:r>
      <w:r w:rsidRPr="00E4782B">
        <w:t xml:space="preserve"> </w:t>
      </w:r>
      <w:r w:rsidRPr="00310447">
        <w:rPr>
          <w:rStyle w:val="Ttulo1Char"/>
        </w:rPr>
        <w:t>APRESENTAÇÃO</w:t>
      </w:r>
      <w:r w:rsidRPr="00CD149C">
        <w:rPr>
          <w:rFonts w:ascii="Tahoma" w:hAnsi="Tahoma" w:cs="Tahoma"/>
          <w:b/>
          <w:color w:val="002060"/>
          <w:sz w:val="28"/>
          <w:szCs w:val="28"/>
        </w:rPr>
        <w:t xml:space="preserve"> </w:t>
      </w:r>
      <w:bookmarkEnd w:id="0"/>
      <w:r w:rsidRPr="00E4782B">
        <w:object w:dxaOrig="3163" w:dyaOrig="3187">
          <v:shape id="_x0000_i1054" type="#_x0000_t75" style="width:21.9pt;height:23.15pt" o:ole="">
            <v:imagedata r:id="rId10" o:title=""/>
          </v:shape>
          <o:OLEObject Type="Embed" ProgID="CorelDRAW.Graphic.13" ShapeID="_x0000_i1054" DrawAspect="Content" ObjectID="_1792498590" r:id="rId39"/>
        </w:object>
      </w:r>
    </w:p>
    <w:p w:rsidR="00465C63" w:rsidRPr="00E8601E" w:rsidRDefault="00465C63" w:rsidP="00EC5FD6">
      <w:pPr>
        <w:pStyle w:val="Subttulo"/>
        <w:rPr>
          <w:sz w:val="20"/>
        </w:rPr>
      </w:pPr>
      <w:bookmarkStart w:id="1" w:name="_Toc181778151"/>
      <w:r w:rsidRPr="00E8601E">
        <w:rPr>
          <w:sz w:val="20"/>
        </w:rPr>
        <w:t>Do O</w:t>
      </w:r>
      <w:r w:rsidRPr="00E8601E">
        <w:rPr>
          <w:rStyle w:val="SubttuloChar"/>
          <w:b/>
          <w:sz w:val="20"/>
        </w:rPr>
        <w:t>bjet</w:t>
      </w:r>
      <w:r w:rsidRPr="00E8601E">
        <w:rPr>
          <w:sz w:val="20"/>
        </w:rPr>
        <w:t>o</w:t>
      </w:r>
      <w:bookmarkEnd w:id="1"/>
    </w:p>
    <w:p w:rsidR="002326E7" w:rsidRPr="00BC3DE6" w:rsidRDefault="00465C63" w:rsidP="000F7FA7">
      <w:pPr>
        <w:spacing w:after="120"/>
        <w:ind w:firstLine="709"/>
        <w:jc w:val="both"/>
        <w:rPr>
          <w:rFonts w:ascii="Tahoma" w:hAnsi="Tahoma" w:cs="Tahoma"/>
          <w:b/>
          <w:bCs/>
          <w:sz w:val="20"/>
        </w:rPr>
      </w:pPr>
      <w:r w:rsidRPr="00BC3DE6">
        <w:rPr>
          <w:rFonts w:ascii="Tahoma" w:hAnsi="Tahoma" w:cs="Tahoma"/>
          <w:sz w:val="20"/>
        </w:rPr>
        <w:t xml:space="preserve">Esta </w:t>
      </w:r>
      <w:r w:rsidR="007A0B11" w:rsidRPr="00BC3DE6">
        <w:rPr>
          <w:rFonts w:ascii="Tahoma" w:hAnsi="Tahoma" w:cs="Tahoma"/>
          <w:sz w:val="20"/>
        </w:rPr>
        <w:t>Política de Investimentos</w:t>
      </w:r>
      <w:r w:rsidRPr="00BC3DE6">
        <w:rPr>
          <w:rFonts w:ascii="Tahoma" w:hAnsi="Tahoma" w:cs="Tahoma"/>
          <w:sz w:val="20"/>
        </w:rPr>
        <w:t xml:space="preserve"> dispõe sobre as aplicações dos recursos do </w:t>
      </w:r>
      <w:r w:rsidR="00F53C5D" w:rsidRPr="00BC3DE6">
        <w:rPr>
          <w:rFonts w:ascii="Tahoma" w:hAnsi="Tahoma" w:cs="Tahoma"/>
          <w:sz w:val="20"/>
        </w:rPr>
        <w:t>Regime Próprio de Previdência Social</w:t>
      </w:r>
      <w:r w:rsidRPr="00BC3DE6">
        <w:rPr>
          <w:rFonts w:ascii="Tahoma" w:hAnsi="Tahoma" w:cs="Tahoma"/>
          <w:sz w:val="20"/>
        </w:rPr>
        <w:t xml:space="preserve"> (RPPS) instituído pelo </w:t>
      </w:r>
      <w:r w:rsidR="008F04AC" w:rsidRPr="00BC3DE6">
        <w:rPr>
          <w:rFonts w:ascii="Tahoma" w:hAnsi="Tahoma" w:cs="Tahoma"/>
          <w:b/>
          <w:noProof/>
          <w:sz w:val="20"/>
        </w:rPr>
        <w:fldChar w:fldCharType="begin"/>
      </w:r>
      <w:r w:rsidR="00BC7F77" w:rsidRPr="00BC3DE6">
        <w:rPr>
          <w:rFonts w:ascii="Tahoma" w:hAnsi="Tahoma" w:cs="Tahoma"/>
          <w:b/>
          <w:noProof/>
          <w:sz w:val="20"/>
        </w:rPr>
        <w:instrText xml:space="preserve"> MERGEFIELD RPPS </w:instrText>
      </w:r>
      <w:r w:rsidR="008F04AC" w:rsidRPr="00BC3DE6">
        <w:rPr>
          <w:rFonts w:ascii="Tahoma" w:hAnsi="Tahoma" w:cs="Tahoma"/>
          <w:b/>
          <w:noProof/>
          <w:sz w:val="20"/>
        </w:rPr>
        <w:fldChar w:fldCharType="separate"/>
      </w:r>
      <w:r w:rsidR="004A232E" w:rsidRPr="00BC514D">
        <w:rPr>
          <w:rFonts w:ascii="Tahoma" w:hAnsi="Tahoma" w:cs="Tahoma"/>
          <w:b/>
          <w:noProof/>
          <w:sz w:val="20"/>
        </w:rPr>
        <w:t>MUNICÍPIO DE ENTRE-IJUÍS</w:t>
      </w:r>
      <w:r w:rsidR="008F04AC" w:rsidRPr="00BC3DE6">
        <w:rPr>
          <w:rFonts w:ascii="Tahoma" w:hAnsi="Tahoma" w:cs="Tahoma"/>
          <w:b/>
          <w:noProof/>
          <w:sz w:val="20"/>
        </w:rPr>
        <w:fldChar w:fldCharType="end"/>
      </w:r>
      <w:r w:rsidRPr="00BC3DE6">
        <w:rPr>
          <w:rFonts w:ascii="Tahoma" w:hAnsi="Tahoma" w:cs="Tahoma"/>
          <w:sz w:val="20"/>
        </w:rPr>
        <w:t xml:space="preserve">. Fica estabelecido que os recursos do </w:t>
      </w:r>
      <w:r w:rsidR="00F53C5D" w:rsidRPr="00BC3DE6">
        <w:rPr>
          <w:rFonts w:ascii="Tahoma" w:hAnsi="Tahoma" w:cs="Tahoma"/>
          <w:sz w:val="20"/>
        </w:rPr>
        <w:t>Regime Próprio de Previdência Social</w:t>
      </w:r>
      <w:r w:rsidR="0052501B" w:rsidRPr="00BC3DE6">
        <w:rPr>
          <w:rFonts w:ascii="Tahoma" w:hAnsi="Tahoma" w:cs="Tahoma"/>
          <w:sz w:val="20"/>
        </w:rPr>
        <w:t xml:space="preserve">, </w:t>
      </w:r>
      <w:r w:rsidRPr="00BC3DE6">
        <w:rPr>
          <w:rFonts w:ascii="Tahoma" w:hAnsi="Tahoma" w:cs="Tahoma"/>
          <w:sz w:val="20"/>
        </w:rPr>
        <w:t>instituído nos termos da Lei nº 9.717, de 27 de novembro de 1998, devem ser aplicados conforme</w:t>
      </w:r>
      <w:r w:rsidRPr="00E8601E">
        <w:rPr>
          <w:rFonts w:ascii="Tahoma" w:hAnsi="Tahoma" w:cs="Tahoma"/>
          <w:sz w:val="20"/>
        </w:rPr>
        <w:t xml:space="preserve"> a legislação em vigor, tendo presentes as condições de segurança, rentabilidade, solvência, liquidez e transparência</w:t>
      </w:r>
      <w:r w:rsidR="0095399B">
        <w:rPr>
          <w:rFonts w:ascii="Tahoma" w:hAnsi="Tahoma" w:cs="Tahoma"/>
          <w:sz w:val="20"/>
        </w:rPr>
        <w:t>.</w:t>
      </w:r>
      <w:r w:rsidR="00BC3DE6">
        <w:rPr>
          <w:rFonts w:ascii="Tahoma" w:hAnsi="Tahoma" w:cs="Tahoma"/>
          <w:sz w:val="20"/>
        </w:rPr>
        <w:t xml:space="preserve"> </w:t>
      </w:r>
      <w:r w:rsidR="0095399B">
        <w:rPr>
          <w:rFonts w:ascii="Tahoma" w:hAnsi="Tahoma" w:cs="Tahoma"/>
          <w:sz w:val="20"/>
        </w:rPr>
        <w:t>E</w:t>
      </w:r>
      <w:r w:rsidR="00BC3DE6" w:rsidRPr="007930C5">
        <w:rPr>
          <w:rFonts w:ascii="Tahoma" w:hAnsi="Tahoma" w:cs="Tahoma"/>
          <w:sz w:val="20"/>
        </w:rPr>
        <w:t>ste esboço contempla os requisitos mínimos ex</w:t>
      </w:r>
      <w:r w:rsidR="0095399B">
        <w:rPr>
          <w:rFonts w:ascii="Tahoma" w:hAnsi="Tahoma" w:cs="Tahoma"/>
          <w:sz w:val="20"/>
        </w:rPr>
        <w:t>i</w:t>
      </w:r>
      <w:r w:rsidR="00BC3DE6" w:rsidRPr="007930C5">
        <w:rPr>
          <w:rFonts w:ascii="Tahoma" w:hAnsi="Tahoma" w:cs="Tahoma"/>
          <w:sz w:val="20"/>
        </w:rPr>
        <w:t xml:space="preserve">gidos no </w:t>
      </w:r>
      <w:r w:rsidR="00BC3DE6" w:rsidRPr="007930C5">
        <w:rPr>
          <w:rFonts w:ascii="Tahoma" w:hAnsi="Tahoma" w:cs="Tahoma"/>
          <w:b/>
          <w:bCs/>
          <w:sz w:val="20"/>
        </w:rPr>
        <w:t>Art</w:t>
      </w:r>
      <w:r w:rsidR="007930C5">
        <w:rPr>
          <w:rFonts w:ascii="Tahoma" w:hAnsi="Tahoma" w:cs="Tahoma"/>
          <w:b/>
          <w:bCs/>
          <w:sz w:val="20"/>
        </w:rPr>
        <w:t>.</w:t>
      </w:r>
      <w:r w:rsidR="00BC3DE6" w:rsidRPr="007930C5">
        <w:rPr>
          <w:rFonts w:ascii="Tahoma" w:hAnsi="Tahoma" w:cs="Tahoma"/>
          <w:b/>
          <w:bCs/>
          <w:sz w:val="20"/>
        </w:rPr>
        <w:t xml:space="preserve"> 102 </w:t>
      </w:r>
      <w:r w:rsidR="007930C5">
        <w:rPr>
          <w:rFonts w:ascii="Tahoma" w:hAnsi="Tahoma" w:cs="Tahoma"/>
          <w:b/>
          <w:bCs/>
          <w:sz w:val="20"/>
        </w:rPr>
        <w:t xml:space="preserve">da </w:t>
      </w:r>
      <w:r w:rsidR="00BC3DE6" w:rsidRPr="007930C5">
        <w:rPr>
          <w:rFonts w:ascii="Tahoma" w:hAnsi="Tahoma" w:cs="Tahoma"/>
          <w:b/>
          <w:bCs/>
          <w:sz w:val="20"/>
        </w:rPr>
        <w:t>Portaria MTP</w:t>
      </w:r>
      <w:r w:rsidR="007930C5">
        <w:rPr>
          <w:rFonts w:ascii="Tahoma" w:hAnsi="Tahoma" w:cs="Tahoma"/>
          <w:b/>
          <w:bCs/>
          <w:sz w:val="20"/>
        </w:rPr>
        <w:t xml:space="preserve"> </w:t>
      </w:r>
      <w:r w:rsidR="007930C5" w:rsidRPr="007930C5">
        <w:rPr>
          <w:rFonts w:ascii="Tahoma" w:hAnsi="Tahoma" w:cs="Tahoma"/>
          <w:b/>
          <w:bCs/>
          <w:sz w:val="20"/>
        </w:rPr>
        <w:t>n°</w:t>
      </w:r>
      <w:r w:rsidR="00BC3DE6" w:rsidRPr="007930C5">
        <w:rPr>
          <w:rFonts w:ascii="Tahoma" w:hAnsi="Tahoma" w:cs="Tahoma"/>
          <w:b/>
          <w:bCs/>
          <w:sz w:val="20"/>
        </w:rPr>
        <w:t xml:space="preserve"> 1</w:t>
      </w:r>
      <w:r w:rsidR="007930C5">
        <w:rPr>
          <w:rFonts w:ascii="Tahoma" w:hAnsi="Tahoma" w:cs="Tahoma"/>
          <w:b/>
          <w:bCs/>
          <w:sz w:val="20"/>
        </w:rPr>
        <w:t>.</w:t>
      </w:r>
      <w:r w:rsidR="00BC3DE6" w:rsidRPr="007930C5">
        <w:rPr>
          <w:rFonts w:ascii="Tahoma" w:hAnsi="Tahoma" w:cs="Tahoma"/>
          <w:b/>
          <w:bCs/>
          <w:sz w:val="20"/>
        </w:rPr>
        <w:t>467/2022</w:t>
      </w:r>
      <w:r w:rsidR="00BC3DE6">
        <w:rPr>
          <w:rFonts w:ascii="Tahoma" w:hAnsi="Tahoma" w:cs="Tahoma"/>
          <w:b/>
          <w:bCs/>
          <w:sz w:val="20"/>
        </w:rPr>
        <w:t>.</w:t>
      </w:r>
    </w:p>
    <w:p w:rsidR="00465C63" w:rsidRPr="00E8601E" w:rsidRDefault="00465C63" w:rsidP="000F7FA7">
      <w:pPr>
        <w:spacing w:after="120"/>
        <w:ind w:firstLine="709"/>
        <w:jc w:val="both"/>
        <w:rPr>
          <w:rFonts w:ascii="Tahoma" w:hAnsi="Tahoma" w:cs="Tahoma"/>
          <w:sz w:val="20"/>
        </w:rPr>
      </w:pPr>
      <w:r w:rsidRPr="00BC3DE6">
        <w:rPr>
          <w:rFonts w:ascii="Tahoma" w:hAnsi="Tahoma" w:cs="Tahoma"/>
          <w:sz w:val="20"/>
        </w:rPr>
        <w:t xml:space="preserve">Observadas as limitações e condições estabelecidas na legislação vigente, os recursos do </w:t>
      </w:r>
      <w:r w:rsidR="00F53C5D" w:rsidRPr="00BC3DE6">
        <w:rPr>
          <w:rFonts w:ascii="Tahoma" w:hAnsi="Tahoma" w:cs="Tahoma"/>
          <w:sz w:val="20"/>
        </w:rPr>
        <w:t>Regime Próprio de Previdência Social</w:t>
      </w:r>
      <w:r w:rsidRPr="00BC3DE6">
        <w:rPr>
          <w:rFonts w:ascii="Tahoma" w:hAnsi="Tahoma" w:cs="Tahoma"/>
          <w:sz w:val="20"/>
        </w:rPr>
        <w:t xml:space="preserve"> devem ser alocados conforme as diretrizes definidas nesta </w:t>
      </w:r>
      <w:r w:rsidR="007A0B11" w:rsidRPr="00BC3DE6">
        <w:rPr>
          <w:rFonts w:ascii="Tahoma" w:hAnsi="Tahoma" w:cs="Tahoma"/>
          <w:sz w:val="20"/>
        </w:rPr>
        <w:t>Política de Investimentos</w:t>
      </w:r>
      <w:r w:rsidRPr="00BC3DE6">
        <w:rPr>
          <w:rFonts w:ascii="Tahoma" w:hAnsi="Tahoma" w:cs="Tahoma"/>
          <w:sz w:val="20"/>
        </w:rPr>
        <w:t>, nos seguintes segmentos de aplicação: renda fixa</w:t>
      </w:r>
      <w:r w:rsidR="0052501B" w:rsidRPr="00BC3DE6">
        <w:rPr>
          <w:rFonts w:ascii="Tahoma" w:hAnsi="Tahoma" w:cs="Tahoma"/>
          <w:sz w:val="20"/>
        </w:rPr>
        <w:t>,</w:t>
      </w:r>
      <w:r w:rsidRPr="00BC3DE6">
        <w:rPr>
          <w:rFonts w:ascii="Tahoma" w:hAnsi="Tahoma" w:cs="Tahoma"/>
          <w:sz w:val="20"/>
        </w:rPr>
        <w:t xml:space="preserve"> renda variável</w:t>
      </w:r>
      <w:r w:rsidR="0052501B" w:rsidRPr="00BC3DE6">
        <w:rPr>
          <w:rFonts w:ascii="Tahoma" w:hAnsi="Tahoma" w:cs="Tahoma"/>
          <w:sz w:val="20"/>
        </w:rPr>
        <w:t>,</w:t>
      </w:r>
      <w:r w:rsidR="00414E7A" w:rsidRPr="00BC3DE6">
        <w:rPr>
          <w:rFonts w:ascii="Tahoma" w:hAnsi="Tahoma" w:cs="Tahoma"/>
          <w:sz w:val="20"/>
        </w:rPr>
        <w:t xml:space="preserve"> investimentos no exterior</w:t>
      </w:r>
      <w:r w:rsidR="0052501B" w:rsidRPr="00BC3DE6">
        <w:rPr>
          <w:rFonts w:ascii="Tahoma" w:hAnsi="Tahoma" w:cs="Tahoma"/>
          <w:sz w:val="20"/>
        </w:rPr>
        <w:t>,</w:t>
      </w:r>
      <w:r w:rsidR="00414E7A" w:rsidRPr="00BC3DE6">
        <w:rPr>
          <w:rFonts w:ascii="Tahoma" w:hAnsi="Tahoma" w:cs="Tahoma"/>
          <w:sz w:val="20"/>
        </w:rPr>
        <w:t xml:space="preserve"> investimentos estruturados</w:t>
      </w:r>
      <w:r w:rsidR="0052501B" w:rsidRPr="00BC3DE6">
        <w:rPr>
          <w:rFonts w:ascii="Tahoma" w:hAnsi="Tahoma" w:cs="Tahoma"/>
          <w:sz w:val="20"/>
        </w:rPr>
        <w:t>,</w:t>
      </w:r>
      <w:r w:rsidR="00414E7A" w:rsidRPr="00BC3DE6">
        <w:rPr>
          <w:rFonts w:ascii="Tahoma" w:hAnsi="Tahoma" w:cs="Tahoma"/>
          <w:sz w:val="20"/>
        </w:rPr>
        <w:t xml:space="preserve"> fundos imobiliários</w:t>
      </w:r>
      <w:r w:rsidRPr="00BC3DE6">
        <w:rPr>
          <w:rFonts w:ascii="Tahoma" w:hAnsi="Tahoma" w:cs="Tahoma"/>
          <w:sz w:val="20"/>
        </w:rPr>
        <w:t xml:space="preserve"> e </w:t>
      </w:r>
      <w:r w:rsidR="007A4CD5" w:rsidRPr="00BC3DE6">
        <w:rPr>
          <w:rFonts w:ascii="Tahoma" w:hAnsi="Tahoma" w:cs="Tahoma"/>
          <w:sz w:val="20"/>
        </w:rPr>
        <w:t>empréstimos consignados</w:t>
      </w:r>
      <w:r w:rsidRPr="00BC3DE6">
        <w:rPr>
          <w:rFonts w:ascii="Tahoma" w:hAnsi="Tahoma" w:cs="Tahoma"/>
          <w:sz w:val="20"/>
        </w:rPr>
        <w:t xml:space="preserve">. São considerados recursos </w:t>
      </w:r>
      <w:r w:rsidR="00F53C5D" w:rsidRPr="00BC3DE6">
        <w:rPr>
          <w:rFonts w:ascii="Tahoma" w:hAnsi="Tahoma" w:cs="Tahoma"/>
          <w:sz w:val="20"/>
        </w:rPr>
        <w:t>Regime Próprio de Previdência Social</w:t>
      </w:r>
      <w:r w:rsidRPr="00BC3DE6">
        <w:rPr>
          <w:rFonts w:ascii="Tahoma" w:hAnsi="Tahoma" w:cs="Tahoma"/>
          <w:sz w:val="20"/>
        </w:rPr>
        <w:t>: as disponibilidades oriundas das receitas correntes e de capital</w:t>
      </w:r>
      <w:r w:rsidR="0052501B" w:rsidRPr="00BC3DE6">
        <w:rPr>
          <w:rFonts w:ascii="Tahoma" w:hAnsi="Tahoma" w:cs="Tahoma"/>
          <w:sz w:val="20"/>
        </w:rPr>
        <w:t>,</w:t>
      </w:r>
      <w:r w:rsidRPr="00BC3DE6">
        <w:rPr>
          <w:rFonts w:ascii="Tahoma" w:hAnsi="Tahoma" w:cs="Tahoma"/>
          <w:sz w:val="20"/>
        </w:rPr>
        <w:t xml:space="preserve"> os demais ingressos financeiros auferidos pelo </w:t>
      </w:r>
      <w:r w:rsidR="00F53C5D" w:rsidRPr="00BC3DE6">
        <w:rPr>
          <w:rFonts w:ascii="Tahoma" w:hAnsi="Tahoma" w:cs="Tahoma"/>
          <w:sz w:val="20"/>
        </w:rPr>
        <w:t>Regime Próprio de Previdência Social</w:t>
      </w:r>
      <w:r w:rsidR="0052501B" w:rsidRPr="00BC3DE6">
        <w:rPr>
          <w:rFonts w:ascii="Tahoma" w:hAnsi="Tahoma" w:cs="Tahoma"/>
          <w:sz w:val="20"/>
        </w:rPr>
        <w:t>,</w:t>
      </w:r>
      <w:r w:rsidRPr="00BC3DE6">
        <w:rPr>
          <w:rFonts w:ascii="Tahoma" w:hAnsi="Tahoma" w:cs="Tahoma"/>
          <w:sz w:val="20"/>
        </w:rPr>
        <w:t xml:space="preserve"> as aplicações financeiras</w:t>
      </w:r>
      <w:r w:rsidR="0052501B" w:rsidRPr="00BC3DE6">
        <w:rPr>
          <w:rFonts w:ascii="Tahoma" w:hAnsi="Tahoma" w:cs="Tahoma"/>
          <w:sz w:val="20"/>
        </w:rPr>
        <w:t>,</w:t>
      </w:r>
      <w:r w:rsidRPr="00BC3DE6">
        <w:rPr>
          <w:rFonts w:ascii="Tahoma" w:hAnsi="Tahoma" w:cs="Tahoma"/>
          <w:sz w:val="20"/>
        </w:rPr>
        <w:t xml:space="preserve"> os títulos e os valores mobiliários</w:t>
      </w:r>
      <w:r w:rsidR="00133032" w:rsidRPr="00BC3DE6">
        <w:rPr>
          <w:rFonts w:ascii="Tahoma" w:hAnsi="Tahoma" w:cs="Tahoma"/>
          <w:sz w:val="20"/>
        </w:rPr>
        <w:t>,</w:t>
      </w:r>
      <w:r w:rsidRPr="00BC3DE6">
        <w:rPr>
          <w:rFonts w:ascii="Tahoma" w:hAnsi="Tahoma" w:cs="Tahoma"/>
          <w:sz w:val="20"/>
        </w:rPr>
        <w:t xml:space="preserve"> os ativos vinculados por lei ao fundo integrado de previdência e demais bens, direitos e ativos com finalidade previdenciária do </w:t>
      </w:r>
      <w:r w:rsidR="00F53C5D" w:rsidRPr="00BC3DE6">
        <w:rPr>
          <w:rFonts w:ascii="Tahoma" w:hAnsi="Tahoma" w:cs="Tahoma"/>
          <w:sz w:val="20"/>
        </w:rPr>
        <w:t>Regime Próprio de Previdência Social</w:t>
      </w:r>
      <w:r w:rsidRPr="00BC3DE6">
        <w:rPr>
          <w:rFonts w:ascii="Tahoma" w:hAnsi="Tahoma" w:cs="Tahoma"/>
          <w:sz w:val="20"/>
        </w:rPr>
        <w:t>.</w:t>
      </w:r>
    </w:p>
    <w:p w:rsidR="00465C63" w:rsidRPr="00E8601E" w:rsidRDefault="00465C63" w:rsidP="000F7FA7">
      <w:pPr>
        <w:spacing w:after="120"/>
        <w:ind w:firstLine="709"/>
        <w:jc w:val="both"/>
        <w:rPr>
          <w:rFonts w:ascii="Tahoma" w:hAnsi="Tahoma" w:cs="Tahoma"/>
          <w:sz w:val="20"/>
        </w:rPr>
      </w:pPr>
    </w:p>
    <w:p w:rsidR="00465C63" w:rsidRPr="00BC3DE6" w:rsidRDefault="00465C63" w:rsidP="00EC5FD6">
      <w:pPr>
        <w:pStyle w:val="Subttulo"/>
        <w:rPr>
          <w:sz w:val="20"/>
        </w:rPr>
      </w:pPr>
      <w:bookmarkStart w:id="2" w:name="_Toc181778152"/>
      <w:r w:rsidRPr="00BC3DE6">
        <w:rPr>
          <w:sz w:val="20"/>
        </w:rPr>
        <w:t>Da Administração</w:t>
      </w:r>
      <w:bookmarkEnd w:id="2"/>
    </w:p>
    <w:p w:rsidR="00465C63" w:rsidRPr="00BC3DE6" w:rsidRDefault="00465C63" w:rsidP="000F7FA7">
      <w:pPr>
        <w:spacing w:after="120"/>
        <w:ind w:firstLine="709"/>
        <w:jc w:val="both"/>
        <w:rPr>
          <w:rFonts w:ascii="Tahoma" w:hAnsi="Tahoma" w:cs="Tahoma"/>
          <w:sz w:val="20"/>
        </w:rPr>
      </w:pPr>
      <w:r w:rsidRPr="00BC3DE6">
        <w:rPr>
          <w:rFonts w:ascii="Tahoma" w:hAnsi="Tahoma" w:cs="Tahoma"/>
          <w:sz w:val="20"/>
        </w:rPr>
        <w:t xml:space="preserve">O </w:t>
      </w:r>
      <w:r w:rsidR="00F53C5D" w:rsidRPr="00BC3DE6">
        <w:rPr>
          <w:rFonts w:ascii="Tahoma" w:hAnsi="Tahoma" w:cs="Tahoma"/>
          <w:sz w:val="20"/>
        </w:rPr>
        <w:t>Regime Próprio de Previdência Social</w:t>
      </w:r>
      <w:r w:rsidR="00133032" w:rsidRPr="00BC3DE6">
        <w:rPr>
          <w:rFonts w:ascii="Tahoma" w:hAnsi="Tahoma" w:cs="Tahoma"/>
          <w:sz w:val="20"/>
        </w:rPr>
        <w:t xml:space="preserve"> </w:t>
      </w:r>
      <w:r w:rsidRPr="00BC3DE6">
        <w:rPr>
          <w:rFonts w:ascii="Tahoma" w:hAnsi="Tahoma" w:cs="Tahoma"/>
          <w:sz w:val="20"/>
        </w:rPr>
        <w:t xml:space="preserve">do </w:t>
      </w:r>
      <w:r w:rsidR="008F04AC" w:rsidRPr="00BC3DE6">
        <w:rPr>
          <w:rFonts w:ascii="Tahoma" w:hAnsi="Tahoma" w:cs="Tahoma"/>
          <w:b/>
          <w:noProof/>
          <w:sz w:val="20"/>
        </w:rPr>
        <w:fldChar w:fldCharType="begin"/>
      </w:r>
      <w:r w:rsidR="00BC7F77" w:rsidRPr="00BC3DE6">
        <w:rPr>
          <w:rFonts w:ascii="Tahoma" w:hAnsi="Tahoma" w:cs="Tahoma"/>
          <w:b/>
          <w:noProof/>
          <w:sz w:val="20"/>
        </w:rPr>
        <w:instrText xml:space="preserve"> MERGEFIELD RPPS </w:instrText>
      </w:r>
      <w:r w:rsidR="008F04AC" w:rsidRPr="00BC3DE6">
        <w:rPr>
          <w:rFonts w:ascii="Tahoma" w:hAnsi="Tahoma" w:cs="Tahoma"/>
          <w:b/>
          <w:noProof/>
          <w:sz w:val="20"/>
        </w:rPr>
        <w:fldChar w:fldCharType="separate"/>
      </w:r>
      <w:r w:rsidR="004A232E" w:rsidRPr="00BC514D">
        <w:rPr>
          <w:rFonts w:ascii="Tahoma" w:hAnsi="Tahoma" w:cs="Tahoma"/>
          <w:b/>
          <w:noProof/>
          <w:sz w:val="20"/>
        </w:rPr>
        <w:t>MUNICÍPIO DE ENTRE-IJUÍS</w:t>
      </w:r>
      <w:r w:rsidR="008F04AC" w:rsidRPr="00BC3DE6">
        <w:rPr>
          <w:rFonts w:ascii="Tahoma" w:hAnsi="Tahoma" w:cs="Tahoma"/>
          <w:b/>
          <w:noProof/>
          <w:sz w:val="20"/>
        </w:rPr>
        <w:fldChar w:fldCharType="end"/>
      </w:r>
      <w:r w:rsidRPr="00BC3DE6">
        <w:rPr>
          <w:rFonts w:ascii="Tahoma" w:hAnsi="Tahoma" w:cs="Tahoma"/>
          <w:b/>
          <w:sz w:val="20"/>
        </w:rPr>
        <w:t xml:space="preserve"> </w:t>
      </w:r>
      <w:r w:rsidRPr="00BC3DE6">
        <w:rPr>
          <w:rFonts w:ascii="Tahoma" w:hAnsi="Tahoma" w:cs="Tahoma"/>
          <w:sz w:val="20"/>
          <w:szCs w:val="20"/>
        </w:rPr>
        <w:t xml:space="preserve">é administrado pela UNIDADE GESTORA representada pelo </w:t>
      </w:r>
      <w:r w:rsidR="008F04AC" w:rsidRPr="00BC3DE6">
        <w:rPr>
          <w:rFonts w:ascii="Tahoma" w:hAnsi="Tahoma" w:cs="Tahoma"/>
          <w:b/>
          <w:noProof/>
          <w:sz w:val="20"/>
        </w:rPr>
        <w:fldChar w:fldCharType="begin"/>
      </w:r>
      <w:r w:rsidR="00BC7F77" w:rsidRPr="00BC3DE6">
        <w:rPr>
          <w:rFonts w:ascii="Tahoma" w:hAnsi="Tahoma" w:cs="Tahoma"/>
          <w:b/>
          <w:noProof/>
          <w:sz w:val="20"/>
        </w:rPr>
        <w:instrText xml:space="preserve"> MERGEFIELD NOME_DO_FUNDO </w:instrText>
      </w:r>
      <w:r w:rsidR="008F04AC" w:rsidRPr="00BC3DE6">
        <w:rPr>
          <w:rFonts w:ascii="Tahoma" w:hAnsi="Tahoma" w:cs="Tahoma"/>
          <w:b/>
          <w:noProof/>
          <w:sz w:val="20"/>
        </w:rPr>
        <w:fldChar w:fldCharType="separate"/>
      </w:r>
      <w:r w:rsidR="004A232E" w:rsidRPr="00BC514D">
        <w:rPr>
          <w:rFonts w:ascii="Tahoma" w:hAnsi="Tahoma" w:cs="Tahoma"/>
          <w:b/>
          <w:noProof/>
          <w:sz w:val="20"/>
        </w:rPr>
        <w:t>REGIME PRÓPRIO DE PREVIDÊNCIA DO SERVIDOR DE ENTRE-IJUÍS</w:t>
      </w:r>
      <w:r w:rsidR="008F04AC" w:rsidRPr="00BC3DE6">
        <w:rPr>
          <w:rFonts w:ascii="Tahoma" w:hAnsi="Tahoma" w:cs="Tahoma"/>
          <w:b/>
          <w:noProof/>
          <w:sz w:val="20"/>
        </w:rPr>
        <w:fldChar w:fldCharType="end"/>
      </w:r>
      <w:r w:rsidRPr="0095399B">
        <w:rPr>
          <w:rFonts w:ascii="Tahoma" w:hAnsi="Tahoma" w:cs="Tahoma"/>
          <w:bCs/>
          <w:sz w:val="20"/>
        </w:rPr>
        <w:t xml:space="preserve"> </w:t>
      </w:r>
      <w:r w:rsidR="0095399B" w:rsidRPr="0095399B">
        <w:rPr>
          <w:rFonts w:ascii="Tahoma" w:hAnsi="Tahoma" w:cs="Tahoma"/>
          <w:bCs/>
          <w:sz w:val="20"/>
        </w:rPr>
        <w:t>sito</w:t>
      </w:r>
      <w:r w:rsidR="0095399B">
        <w:rPr>
          <w:rFonts w:ascii="Tahoma" w:hAnsi="Tahoma" w:cs="Tahoma"/>
          <w:b/>
          <w:sz w:val="20"/>
        </w:rPr>
        <w:t xml:space="preserve"> </w:t>
      </w:r>
      <w:r w:rsidRPr="00BC3DE6">
        <w:rPr>
          <w:rFonts w:ascii="Tahoma" w:hAnsi="Tahoma" w:cs="Tahoma"/>
          <w:sz w:val="20"/>
        </w:rPr>
        <w:t xml:space="preserve">na </w:t>
      </w:r>
      <w:r w:rsidR="008F04AC" w:rsidRPr="00BC3DE6">
        <w:rPr>
          <w:rFonts w:ascii="Tahoma" w:hAnsi="Tahoma" w:cs="Tahoma"/>
          <w:noProof/>
          <w:sz w:val="20"/>
        </w:rPr>
        <w:fldChar w:fldCharType="begin"/>
      </w:r>
      <w:r w:rsidR="00E20929" w:rsidRPr="00BC3DE6">
        <w:rPr>
          <w:rFonts w:ascii="Tahoma" w:hAnsi="Tahoma" w:cs="Tahoma"/>
          <w:noProof/>
          <w:sz w:val="20"/>
        </w:rPr>
        <w:instrText xml:space="preserve"> MERGEFIELD ENDEREÇO </w:instrText>
      </w:r>
      <w:r w:rsidR="008F04AC" w:rsidRPr="00BC3DE6">
        <w:rPr>
          <w:rFonts w:ascii="Tahoma" w:hAnsi="Tahoma" w:cs="Tahoma"/>
          <w:noProof/>
          <w:sz w:val="20"/>
        </w:rPr>
        <w:fldChar w:fldCharType="separate"/>
      </w:r>
      <w:r w:rsidR="004A232E" w:rsidRPr="00BC514D">
        <w:rPr>
          <w:rFonts w:ascii="Tahoma" w:hAnsi="Tahoma" w:cs="Tahoma"/>
          <w:noProof/>
          <w:sz w:val="20"/>
        </w:rPr>
        <w:t>Rua Francisco Richter, nº 601 – Centro – Entre-Ijuís</w:t>
      </w:r>
      <w:r w:rsidR="008F04AC" w:rsidRPr="00BC3DE6">
        <w:rPr>
          <w:rFonts w:ascii="Tahoma" w:hAnsi="Tahoma" w:cs="Tahoma"/>
          <w:noProof/>
          <w:sz w:val="20"/>
        </w:rPr>
        <w:fldChar w:fldCharType="end"/>
      </w:r>
      <w:r w:rsidRPr="00BC3DE6">
        <w:rPr>
          <w:rFonts w:ascii="Tahoma" w:hAnsi="Tahoma" w:cs="Tahoma"/>
          <w:sz w:val="20"/>
        </w:rPr>
        <w:t xml:space="preserve">, </w:t>
      </w:r>
      <w:r w:rsidR="008F04AC" w:rsidRPr="00BC3DE6">
        <w:rPr>
          <w:rFonts w:ascii="Tahoma" w:hAnsi="Tahoma" w:cs="Tahoma"/>
          <w:noProof/>
          <w:sz w:val="20"/>
        </w:rPr>
        <w:fldChar w:fldCharType="begin"/>
      </w:r>
      <w:r w:rsidR="00E20929" w:rsidRPr="00BC3DE6">
        <w:rPr>
          <w:rFonts w:ascii="Tahoma" w:hAnsi="Tahoma" w:cs="Tahoma"/>
          <w:noProof/>
          <w:sz w:val="20"/>
        </w:rPr>
        <w:instrText xml:space="preserve"> MERGEFIELD CEP </w:instrText>
      </w:r>
      <w:r w:rsidR="008F04AC" w:rsidRPr="00BC3DE6">
        <w:rPr>
          <w:rFonts w:ascii="Tahoma" w:hAnsi="Tahoma" w:cs="Tahoma"/>
          <w:noProof/>
          <w:sz w:val="20"/>
        </w:rPr>
        <w:fldChar w:fldCharType="separate"/>
      </w:r>
      <w:r w:rsidR="004A232E" w:rsidRPr="00BC514D">
        <w:rPr>
          <w:rFonts w:ascii="Tahoma" w:hAnsi="Tahoma" w:cs="Tahoma"/>
          <w:noProof/>
          <w:sz w:val="20"/>
        </w:rPr>
        <w:t>CEP: 98855-000</w:t>
      </w:r>
      <w:r w:rsidR="008F04AC" w:rsidRPr="00BC3DE6">
        <w:rPr>
          <w:rFonts w:ascii="Tahoma" w:hAnsi="Tahoma" w:cs="Tahoma"/>
          <w:noProof/>
          <w:sz w:val="20"/>
        </w:rPr>
        <w:fldChar w:fldCharType="end"/>
      </w:r>
      <w:r w:rsidRPr="00BC3DE6">
        <w:rPr>
          <w:rFonts w:ascii="Tahoma" w:hAnsi="Tahoma" w:cs="Tahoma"/>
          <w:sz w:val="20"/>
        </w:rPr>
        <w:t xml:space="preserve">, inscrita no CNPJ sob o nº </w:t>
      </w:r>
      <w:r w:rsidR="008F04AC" w:rsidRPr="00BC3DE6">
        <w:rPr>
          <w:rFonts w:ascii="Tahoma" w:hAnsi="Tahoma" w:cs="Tahoma"/>
          <w:noProof/>
          <w:sz w:val="20"/>
        </w:rPr>
        <w:fldChar w:fldCharType="begin"/>
      </w:r>
      <w:r w:rsidR="00E20929" w:rsidRPr="00BC3DE6">
        <w:rPr>
          <w:rFonts w:ascii="Tahoma" w:hAnsi="Tahoma" w:cs="Tahoma"/>
          <w:noProof/>
          <w:sz w:val="20"/>
        </w:rPr>
        <w:instrText xml:space="preserve"> MERGEFIELD CNPJ </w:instrText>
      </w:r>
      <w:r w:rsidR="008F04AC" w:rsidRPr="00BC3DE6">
        <w:rPr>
          <w:rFonts w:ascii="Tahoma" w:hAnsi="Tahoma" w:cs="Tahoma"/>
          <w:noProof/>
          <w:sz w:val="20"/>
        </w:rPr>
        <w:fldChar w:fldCharType="separate"/>
      </w:r>
      <w:r w:rsidR="004A232E" w:rsidRPr="00BC514D">
        <w:rPr>
          <w:rFonts w:ascii="Tahoma" w:hAnsi="Tahoma" w:cs="Tahoma"/>
          <w:noProof/>
          <w:sz w:val="20"/>
        </w:rPr>
        <w:t>10.505.217/0001-07</w:t>
      </w:r>
      <w:r w:rsidR="008F04AC" w:rsidRPr="00BC3DE6">
        <w:rPr>
          <w:rFonts w:ascii="Tahoma" w:hAnsi="Tahoma" w:cs="Tahoma"/>
          <w:noProof/>
          <w:sz w:val="20"/>
        </w:rPr>
        <w:fldChar w:fldCharType="end"/>
      </w:r>
      <w:r w:rsidRPr="00BC3DE6">
        <w:rPr>
          <w:rFonts w:ascii="Tahoma" w:hAnsi="Tahoma" w:cs="Tahoma"/>
          <w:sz w:val="20"/>
        </w:rPr>
        <w:t xml:space="preserve">, doravante abreviadamente designada, </w:t>
      </w:r>
      <w:r w:rsidR="008F04AC" w:rsidRPr="00BC3DE6">
        <w:rPr>
          <w:rFonts w:ascii="Tahoma" w:hAnsi="Tahoma" w:cs="Tahoma"/>
          <w:b/>
          <w:bCs/>
          <w:sz w:val="20"/>
        </w:rPr>
        <w:fldChar w:fldCharType="begin"/>
      </w:r>
      <w:r w:rsidR="00FF57B2" w:rsidRPr="00BC3DE6">
        <w:rPr>
          <w:rFonts w:ascii="Tahoma" w:hAnsi="Tahoma" w:cs="Tahoma"/>
          <w:b/>
          <w:bCs/>
          <w:sz w:val="20"/>
        </w:rPr>
        <w:instrText xml:space="preserve"> MERGEFIELD TP </w:instrText>
      </w:r>
      <w:r w:rsidR="008F04AC" w:rsidRPr="00BC3DE6">
        <w:rPr>
          <w:rFonts w:ascii="Tahoma" w:hAnsi="Tahoma" w:cs="Tahoma"/>
          <w:b/>
          <w:bCs/>
          <w:sz w:val="20"/>
        </w:rPr>
        <w:fldChar w:fldCharType="separate"/>
      </w:r>
      <w:r w:rsidR="004A232E" w:rsidRPr="00BC514D">
        <w:rPr>
          <w:rFonts w:ascii="Tahoma" w:hAnsi="Tahoma" w:cs="Tahoma"/>
          <w:b/>
          <w:bCs/>
          <w:noProof/>
          <w:sz w:val="20"/>
        </w:rPr>
        <w:t>RPPS</w:t>
      </w:r>
      <w:r w:rsidR="008F04AC" w:rsidRPr="00BC3DE6">
        <w:rPr>
          <w:rFonts w:ascii="Tahoma" w:hAnsi="Tahoma" w:cs="Tahoma"/>
          <w:b/>
          <w:bCs/>
          <w:sz w:val="20"/>
        </w:rPr>
        <w:fldChar w:fldCharType="end"/>
      </w:r>
      <w:r w:rsidRPr="00BC3DE6">
        <w:rPr>
          <w:rFonts w:ascii="Tahoma" w:hAnsi="Tahoma" w:cs="Tahoma"/>
          <w:sz w:val="20"/>
        </w:rPr>
        <w:t xml:space="preserve">, tendo como Representante Legal do Ente o </w:t>
      </w:r>
      <w:r w:rsidR="008F04AC" w:rsidRPr="00BC3DE6">
        <w:rPr>
          <w:rFonts w:ascii="Tahoma" w:hAnsi="Tahoma" w:cs="Tahoma"/>
          <w:noProof/>
          <w:sz w:val="20"/>
        </w:rPr>
        <w:fldChar w:fldCharType="begin"/>
      </w:r>
      <w:r w:rsidR="00616F1F" w:rsidRPr="00BC3DE6">
        <w:rPr>
          <w:rFonts w:ascii="Tahoma" w:hAnsi="Tahoma" w:cs="Tahoma"/>
          <w:noProof/>
          <w:sz w:val="20"/>
        </w:rPr>
        <w:instrText xml:space="preserve"> MERGEFIELD HM_1 </w:instrText>
      </w:r>
      <w:r w:rsidR="008F04AC" w:rsidRPr="00BC3DE6">
        <w:rPr>
          <w:rFonts w:ascii="Tahoma" w:hAnsi="Tahoma" w:cs="Tahoma"/>
          <w:noProof/>
          <w:sz w:val="20"/>
        </w:rPr>
        <w:fldChar w:fldCharType="separate"/>
      </w:r>
      <w:r w:rsidR="004A232E" w:rsidRPr="00BC514D">
        <w:rPr>
          <w:rFonts w:ascii="Tahoma" w:hAnsi="Tahoma" w:cs="Tahoma"/>
          <w:noProof/>
          <w:sz w:val="20"/>
        </w:rPr>
        <w:t>Sr.</w:t>
      </w:r>
      <w:r w:rsidR="008F04AC" w:rsidRPr="00BC3DE6">
        <w:rPr>
          <w:rFonts w:ascii="Tahoma" w:hAnsi="Tahoma" w:cs="Tahoma"/>
          <w:noProof/>
          <w:sz w:val="20"/>
        </w:rPr>
        <w:fldChar w:fldCharType="end"/>
      </w:r>
      <w:r w:rsidRPr="00BC3DE6">
        <w:rPr>
          <w:rFonts w:ascii="Tahoma" w:hAnsi="Tahoma" w:cs="Tahoma"/>
          <w:sz w:val="20"/>
        </w:rPr>
        <w:t xml:space="preserve"> </w:t>
      </w:r>
      <w:r w:rsidR="008F04AC" w:rsidRPr="00BC3DE6">
        <w:rPr>
          <w:rFonts w:ascii="Tahoma" w:hAnsi="Tahoma" w:cs="Tahoma"/>
          <w:b/>
          <w:noProof/>
          <w:sz w:val="20"/>
        </w:rPr>
        <w:fldChar w:fldCharType="begin"/>
      </w:r>
      <w:r w:rsidR="00E20929" w:rsidRPr="00BC3DE6">
        <w:rPr>
          <w:rFonts w:ascii="Tahoma" w:hAnsi="Tahoma" w:cs="Tahoma"/>
          <w:b/>
          <w:noProof/>
          <w:sz w:val="20"/>
        </w:rPr>
        <w:instrText xml:space="preserve"> MERGEFIELD PREFEITO </w:instrText>
      </w:r>
      <w:r w:rsidR="008F04AC" w:rsidRPr="00BC3DE6">
        <w:rPr>
          <w:rFonts w:ascii="Tahoma" w:hAnsi="Tahoma" w:cs="Tahoma"/>
          <w:b/>
          <w:noProof/>
          <w:sz w:val="20"/>
        </w:rPr>
        <w:fldChar w:fldCharType="separate"/>
      </w:r>
      <w:r w:rsidR="004A232E" w:rsidRPr="00BC514D">
        <w:rPr>
          <w:rFonts w:ascii="Tahoma" w:hAnsi="Tahoma" w:cs="Tahoma"/>
          <w:b/>
          <w:noProof/>
          <w:sz w:val="20"/>
        </w:rPr>
        <w:t>JOSE PAULO MENEGHINE</w:t>
      </w:r>
      <w:r w:rsidR="008F04AC" w:rsidRPr="00BC3DE6">
        <w:rPr>
          <w:rFonts w:ascii="Tahoma" w:hAnsi="Tahoma" w:cs="Tahoma"/>
          <w:b/>
          <w:noProof/>
          <w:sz w:val="20"/>
        </w:rPr>
        <w:fldChar w:fldCharType="end"/>
      </w:r>
      <w:r w:rsidRPr="00BC3DE6">
        <w:rPr>
          <w:rFonts w:ascii="Tahoma" w:hAnsi="Tahoma" w:cs="Tahoma"/>
          <w:sz w:val="20"/>
        </w:rPr>
        <w:t xml:space="preserve"> e o Representante Legal da Unidade Gestora o </w:t>
      </w:r>
      <w:r w:rsidR="008F04AC" w:rsidRPr="00BC3DE6">
        <w:rPr>
          <w:rFonts w:ascii="Tahoma" w:hAnsi="Tahoma" w:cs="Tahoma"/>
          <w:noProof/>
          <w:sz w:val="20"/>
        </w:rPr>
        <w:fldChar w:fldCharType="begin"/>
      </w:r>
      <w:r w:rsidR="00616F1F" w:rsidRPr="00BC3DE6">
        <w:rPr>
          <w:rFonts w:ascii="Tahoma" w:hAnsi="Tahoma" w:cs="Tahoma"/>
          <w:noProof/>
          <w:sz w:val="20"/>
        </w:rPr>
        <w:instrText xml:space="preserve"> MERGEFIELD HM_2 </w:instrText>
      </w:r>
      <w:r w:rsidR="008F04AC" w:rsidRPr="00BC3DE6">
        <w:rPr>
          <w:rFonts w:ascii="Tahoma" w:hAnsi="Tahoma" w:cs="Tahoma"/>
          <w:noProof/>
          <w:sz w:val="20"/>
        </w:rPr>
        <w:fldChar w:fldCharType="separate"/>
      </w:r>
      <w:r w:rsidR="004A232E" w:rsidRPr="00BC514D">
        <w:rPr>
          <w:rFonts w:ascii="Tahoma" w:hAnsi="Tahoma" w:cs="Tahoma"/>
          <w:noProof/>
          <w:sz w:val="20"/>
        </w:rPr>
        <w:t>Sra.</w:t>
      </w:r>
      <w:r w:rsidR="008F04AC" w:rsidRPr="00BC3DE6">
        <w:rPr>
          <w:rFonts w:ascii="Tahoma" w:hAnsi="Tahoma" w:cs="Tahoma"/>
          <w:noProof/>
          <w:sz w:val="20"/>
        </w:rPr>
        <w:fldChar w:fldCharType="end"/>
      </w:r>
      <w:r w:rsidRPr="00BC3DE6">
        <w:rPr>
          <w:rFonts w:ascii="Tahoma" w:hAnsi="Tahoma" w:cs="Tahoma"/>
          <w:sz w:val="20"/>
        </w:rPr>
        <w:t xml:space="preserve"> </w:t>
      </w:r>
      <w:r w:rsidR="008F04AC" w:rsidRPr="00BC3DE6">
        <w:rPr>
          <w:rFonts w:ascii="Tahoma" w:hAnsi="Tahoma" w:cs="Tahoma"/>
          <w:b/>
          <w:noProof/>
          <w:sz w:val="20"/>
        </w:rPr>
        <w:fldChar w:fldCharType="begin"/>
      </w:r>
      <w:r w:rsidR="00616F1F" w:rsidRPr="00BC3DE6">
        <w:rPr>
          <w:rFonts w:ascii="Tahoma" w:hAnsi="Tahoma" w:cs="Tahoma"/>
          <w:b/>
          <w:noProof/>
          <w:sz w:val="20"/>
        </w:rPr>
        <w:instrText xml:space="preserve"> MERGEFIELD PRESIDENTE </w:instrText>
      </w:r>
      <w:r w:rsidR="008F04AC" w:rsidRPr="00BC3DE6">
        <w:rPr>
          <w:rFonts w:ascii="Tahoma" w:hAnsi="Tahoma" w:cs="Tahoma"/>
          <w:b/>
          <w:noProof/>
          <w:sz w:val="20"/>
        </w:rPr>
        <w:fldChar w:fldCharType="separate"/>
      </w:r>
      <w:r w:rsidR="004A232E" w:rsidRPr="00BC514D">
        <w:rPr>
          <w:rFonts w:ascii="Tahoma" w:hAnsi="Tahoma" w:cs="Tahoma"/>
          <w:b/>
          <w:noProof/>
          <w:sz w:val="20"/>
        </w:rPr>
        <w:t>REGINA APARECIDA MACHADO DE SOUZA</w:t>
      </w:r>
      <w:r w:rsidR="008F04AC" w:rsidRPr="00BC3DE6">
        <w:rPr>
          <w:rFonts w:ascii="Tahoma" w:hAnsi="Tahoma" w:cs="Tahoma"/>
          <w:b/>
          <w:noProof/>
          <w:sz w:val="20"/>
        </w:rPr>
        <w:fldChar w:fldCharType="end"/>
      </w:r>
      <w:r w:rsidRPr="00BC3DE6">
        <w:rPr>
          <w:rFonts w:ascii="Tahoma" w:hAnsi="Tahoma" w:cs="Tahoma"/>
          <w:sz w:val="20"/>
        </w:rPr>
        <w:t>.</w:t>
      </w:r>
    </w:p>
    <w:p w:rsidR="00465C63" w:rsidRPr="00BC3DE6" w:rsidRDefault="00465C63" w:rsidP="000F7FA7">
      <w:pPr>
        <w:spacing w:after="120"/>
        <w:ind w:firstLine="709"/>
        <w:jc w:val="both"/>
        <w:rPr>
          <w:sz w:val="20"/>
        </w:rPr>
      </w:pPr>
    </w:p>
    <w:p w:rsidR="00465C63" w:rsidRPr="00BC3DE6" w:rsidRDefault="00465C63" w:rsidP="00EC5FD6">
      <w:pPr>
        <w:pStyle w:val="Subttulo"/>
        <w:rPr>
          <w:sz w:val="20"/>
          <w:szCs w:val="20"/>
        </w:rPr>
      </w:pPr>
      <w:bookmarkStart w:id="3" w:name="_Toc181778153"/>
      <w:r w:rsidRPr="00BC3DE6">
        <w:rPr>
          <w:sz w:val="20"/>
          <w:szCs w:val="20"/>
        </w:rPr>
        <w:t>Da Organização do Documento</w:t>
      </w:r>
      <w:bookmarkEnd w:id="3"/>
    </w:p>
    <w:p w:rsidR="00AD12FB" w:rsidRDefault="00465C63" w:rsidP="000F7FA7">
      <w:pPr>
        <w:spacing w:after="120"/>
        <w:ind w:firstLine="709"/>
        <w:jc w:val="both"/>
        <w:rPr>
          <w:rFonts w:ascii="Tahoma" w:hAnsi="Tahoma" w:cs="Tahoma"/>
          <w:sz w:val="20"/>
        </w:rPr>
      </w:pPr>
      <w:r w:rsidRPr="00BC3DE6">
        <w:rPr>
          <w:rFonts w:ascii="Tahoma" w:hAnsi="Tahoma" w:cs="Tahoma"/>
          <w:sz w:val="20"/>
        </w:rPr>
        <w:t xml:space="preserve">Esta INTRODUÇÃO de apresentação da </w:t>
      </w:r>
      <w:r w:rsidR="007A0B11" w:rsidRPr="00BC3DE6">
        <w:rPr>
          <w:rFonts w:ascii="Tahoma" w:hAnsi="Tahoma" w:cs="Tahoma"/>
          <w:sz w:val="20"/>
        </w:rPr>
        <w:t>Política de Investimentos</w:t>
      </w:r>
      <w:r w:rsidRPr="00BC3DE6">
        <w:rPr>
          <w:rFonts w:ascii="Tahoma" w:hAnsi="Tahoma" w:cs="Tahoma"/>
          <w:sz w:val="20"/>
        </w:rPr>
        <w:t xml:space="preserve"> do </w:t>
      </w:r>
      <w:r w:rsidR="008F04AC" w:rsidRPr="00BC3DE6">
        <w:rPr>
          <w:rFonts w:ascii="Tahoma" w:hAnsi="Tahoma" w:cs="Tahoma"/>
          <w:b/>
          <w:noProof/>
          <w:sz w:val="20"/>
        </w:rPr>
        <w:fldChar w:fldCharType="begin"/>
      </w:r>
      <w:r w:rsidR="00616F1F" w:rsidRPr="00BC3DE6">
        <w:rPr>
          <w:rFonts w:ascii="Tahoma" w:hAnsi="Tahoma" w:cs="Tahoma"/>
          <w:b/>
          <w:noProof/>
          <w:sz w:val="20"/>
        </w:rPr>
        <w:instrText xml:space="preserve"> MERGEFIELD NOME_DO_FUNDO </w:instrText>
      </w:r>
      <w:r w:rsidR="008F04AC" w:rsidRPr="00BC3DE6">
        <w:rPr>
          <w:rFonts w:ascii="Tahoma" w:hAnsi="Tahoma" w:cs="Tahoma"/>
          <w:b/>
          <w:noProof/>
          <w:sz w:val="20"/>
        </w:rPr>
        <w:fldChar w:fldCharType="separate"/>
      </w:r>
      <w:r w:rsidR="004A232E" w:rsidRPr="00BC514D">
        <w:rPr>
          <w:rFonts w:ascii="Tahoma" w:hAnsi="Tahoma" w:cs="Tahoma"/>
          <w:b/>
          <w:noProof/>
          <w:sz w:val="20"/>
        </w:rPr>
        <w:t>REGIME PRÓPRIO DE PREVIDÊNCIA DO SERVIDOR DE ENTRE-IJUÍS</w:t>
      </w:r>
      <w:r w:rsidR="008F04AC" w:rsidRPr="00BC3DE6">
        <w:rPr>
          <w:rFonts w:ascii="Tahoma" w:hAnsi="Tahoma" w:cs="Tahoma"/>
          <w:b/>
          <w:noProof/>
          <w:sz w:val="20"/>
        </w:rPr>
        <w:fldChar w:fldCharType="end"/>
      </w:r>
      <w:r w:rsidRPr="00BC3DE6">
        <w:rPr>
          <w:rFonts w:ascii="Tahoma" w:hAnsi="Tahoma" w:cs="Tahoma"/>
          <w:sz w:val="20"/>
        </w:rPr>
        <w:t xml:space="preserve"> </w:t>
      </w:r>
      <w:r w:rsidR="005731B7" w:rsidRPr="00BC3DE6">
        <w:rPr>
          <w:rFonts w:ascii="Tahoma" w:hAnsi="Tahoma" w:cs="Tahoma"/>
          <w:sz w:val="20"/>
        </w:rPr>
        <w:t>contempla a</w:t>
      </w:r>
      <w:r w:rsidRPr="00BC3DE6">
        <w:rPr>
          <w:rFonts w:ascii="Tahoma" w:hAnsi="Tahoma" w:cs="Tahoma"/>
          <w:sz w:val="20"/>
        </w:rPr>
        <w:t xml:space="preserve"> VIGÊNCIA E OBJETIVOS DA </w:t>
      </w:r>
      <w:r w:rsidR="007A0B11" w:rsidRPr="00BC3DE6">
        <w:rPr>
          <w:rFonts w:ascii="Tahoma" w:hAnsi="Tahoma" w:cs="Tahoma"/>
          <w:sz w:val="20"/>
        </w:rPr>
        <w:t>POLÍTICA DE INVESTIMENTOS</w:t>
      </w:r>
      <w:r w:rsidRPr="00BC3DE6">
        <w:rPr>
          <w:rFonts w:ascii="Tahoma" w:hAnsi="Tahoma" w:cs="Tahoma"/>
          <w:sz w:val="20"/>
        </w:rPr>
        <w:t xml:space="preserve">, destacando a abrangência temporal dos efeitos originados por este documento e o propósito de curto e longo prazo do </w:t>
      </w:r>
      <w:r w:rsidR="008F04AC" w:rsidRPr="00BC3DE6">
        <w:rPr>
          <w:rFonts w:ascii="Tahoma" w:hAnsi="Tahoma" w:cs="Tahoma"/>
          <w:b/>
          <w:noProof/>
          <w:sz w:val="20"/>
        </w:rPr>
        <w:fldChar w:fldCharType="begin"/>
      </w:r>
      <w:r w:rsidR="00F93F8D" w:rsidRPr="00BC3DE6">
        <w:rPr>
          <w:rFonts w:ascii="Tahoma" w:hAnsi="Tahoma" w:cs="Tahoma"/>
          <w:b/>
          <w:noProof/>
          <w:sz w:val="20"/>
        </w:rPr>
        <w:instrText xml:space="preserve"> MERGEFIELD TP </w:instrText>
      </w:r>
      <w:r w:rsidR="008F04AC" w:rsidRPr="00BC3DE6">
        <w:rPr>
          <w:rFonts w:ascii="Tahoma" w:hAnsi="Tahoma" w:cs="Tahoma"/>
          <w:b/>
          <w:noProof/>
          <w:sz w:val="20"/>
        </w:rPr>
        <w:fldChar w:fldCharType="separate"/>
      </w:r>
      <w:r w:rsidR="004A232E" w:rsidRPr="00BC514D">
        <w:rPr>
          <w:rFonts w:ascii="Tahoma" w:hAnsi="Tahoma" w:cs="Tahoma"/>
          <w:b/>
          <w:noProof/>
          <w:sz w:val="20"/>
        </w:rPr>
        <w:t>RPPS</w:t>
      </w:r>
      <w:r w:rsidR="008F04AC" w:rsidRPr="00BC3DE6">
        <w:rPr>
          <w:rFonts w:ascii="Tahoma" w:hAnsi="Tahoma" w:cs="Tahoma"/>
          <w:b/>
          <w:noProof/>
          <w:sz w:val="20"/>
        </w:rPr>
        <w:fldChar w:fldCharType="end"/>
      </w:r>
      <w:r w:rsidR="00133032" w:rsidRPr="00BC3DE6">
        <w:rPr>
          <w:rFonts w:ascii="Tahoma" w:hAnsi="Tahoma" w:cs="Tahoma"/>
          <w:sz w:val="20"/>
        </w:rPr>
        <w:t>; o</w:t>
      </w:r>
      <w:r w:rsidRPr="00BC3DE6">
        <w:rPr>
          <w:rFonts w:ascii="Tahoma" w:hAnsi="Tahoma" w:cs="Tahoma"/>
          <w:sz w:val="20"/>
        </w:rPr>
        <w:t xml:space="preserve"> MODELO DE GESTÃO E SERVIÇOS ESPECIALIZADOS, para prever o modo de gerir os recursos e o suporte especializado necessário</w:t>
      </w:r>
      <w:r w:rsidR="00133032" w:rsidRPr="00BC3DE6">
        <w:rPr>
          <w:rFonts w:ascii="Tahoma" w:hAnsi="Tahoma" w:cs="Tahoma"/>
          <w:sz w:val="20"/>
        </w:rPr>
        <w:t>;</w:t>
      </w:r>
      <w:r w:rsidRPr="00BC3DE6">
        <w:rPr>
          <w:rFonts w:ascii="Tahoma" w:hAnsi="Tahoma" w:cs="Tahoma"/>
          <w:sz w:val="20"/>
        </w:rPr>
        <w:t xml:space="preserve"> </w:t>
      </w:r>
      <w:r w:rsidR="00133032" w:rsidRPr="00BC3DE6">
        <w:rPr>
          <w:rFonts w:ascii="Tahoma" w:hAnsi="Tahoma" w:cs="Tahoma"/>
          <w:sz w:val="20"/>
        </w:rPr>
        <w:t>o</w:t>
      </w:r>
      <w:r w:rsidRPr="00BC3DE6">
        <w:rPr>
          <w:rFonts w:ascii="Tahoma" w:hAnsi="Tahoma" w:cs="Tahoma"/>
          <w:sz w:val="20"/>
        </w:rPr>
        <w:t xml:space="preserve">s ASPECTOS LEGAIS DA RESOLUÇÃO CMN </w:t>
      </w:r>
      <w:r w:rsidR="00D57CDD" w:rsidRPr="00BC3DE6">
        <w:rPr>
          <w:rFonts w:ascii="Tahoma" w:hAnsi="Tahoma" w:cs="Tahoma"/>
          <w:sz w:val="20"/>
        </w:rPr>
        <w:t>4.963/2021</w:t>
      </w:r>
      <w:r w:rsidRPr="00BC3DE6">
        <w:rPr>
          <w:rFonts w:ascii="Tahoma" w:hAnsi="Tahoma" w:cs="Tahoma"/>
          <w:sz w:val="20"/>
        </w:rPr>
        <w:t xml:space="preserve">, a partir da síntese dos seus </w:t>
      </w:r>
      <w:r w:rsidR="007A0B11" w:rsidRPr="00BC3DE6">
        <w:rPr>
          <w:rFonts w:ascii="Tahoma" w:hAnsi="Tahoma" w:cs="Tahoma"/>
          <w:sz w:val="20"/>
        </w:rPr>
        <w:t>principais</w:t>
      </w:r>
      <w:r w:rsidRPr="00BC3DE6">
        <w:rPr>
          <w:rFonts w:ascii="Tahoma" w:hAnsi="Tahoma" w:cs="Tahoma"/>
          <w:sz w:val="20"/>
        </w:rPr>
        <w:t xml:space="preserve"> aspectos correspondentes</w:t>
      </w:r>
      <w:r w:rsidR="00133032" w:rsidRPr="00BC3DE6">
        <w:rPr>
          <w:rFonts w:ascii="Tahoma" w:hAnsi="Tahoma" w:cs="Tahoma"/>
          <w:sz w:val="20"/>
        </w:rPr>
        <w:t>; a</w:t>
      </w:r>
      <w:r w:rsidRPr="00BC3DE6">
        <w:rPr>
          <w:rFonts w:ascii="Tahoma" w:hAnsi="Tahoma" w:cs="Tahoma"/>
          <w:sz w:val="20"/>
        </w:rPr>
        <w:t xml:space="preserve"> CONJUNTURA ECONÔMICA E ANÁLISE DE MERCADO, para oferecer dados e informações a respeito do contexto econômico de investimentos, bem como as EXPECTATIVAS DO MERCADO FINANCEIRO </w:t>
      </w:r>
      <w:r w:rsidRPr="007930C5">
        <w:rPr>
          <w:rFonts w:ascii="Tahoma" w:hAnsi="Tahoma" w:cs="Tahoma"/>
          <w:sz w:val="20"/>
        </w:rPr>
        <w:t>PARA 202</w:t>
      </w:r>
      <w:r w:rsidR="00E16EDA" w:rsidRPr="007930C5">
        <w:rPr>
          <w:rFonts w:ascii="Tahoma" w:hAnsi="Tahoma" w:cs="Tahoma"/>
          <w:sz w:val="20"/>
        </w:rPr>
        <w:t>4</w:t>
      </w:r>
      <w:r w:rsidRPr="007930C5">
        <w:rPr>
          <w:rFonts w:ascii="Tahoma" w:hAnsi="Tahoma" w:cs="Tahoma"/>
          <w:sz w:val="20"/>
        </w:rPr>
        <w:t>/202</w:t>
      </w:r>
      <w:r w:rsidR="00E16EDA" w:rsidRPr="007930C5">
        <w:rPr>
          <w:rFonts w:ascii="Tahoma" w:hAnsi="Tahoma" w:cs="Tahoma"/>
          <w:sz w:val="20"/>
        </w:rPr>
        <w:t>5</w:t>
      </w:r>
      <w:r w:rsidRPr="007930C5">
        <w:rPr>
          <w:rFonts w:ascii="Tahoma" w:hAnsi="Tahoma" w:cs="Tahoma"/>
          <w:sz w:val="20"/>
        </w:rPr>
        <w:t>,</w:t>
      </w:r>
      <w:r w:rsidRPr="00BC3DE6">
        <w:rPr>
          <w:rFonts w:ascii="Tahoma" w:hAnsi="Tahoma" w:cs="Tahoma"/>
          <w:sz w:val="20"/>
        </w:rPr>
        <w:t xml:space="preserve"> </w:t>
      </w:r>
      <w:r w:rsidR="00133032" w:rsidRPr="00BC3DE6">
        <w:rPr>
          <w:rFonts w:ascii="Tahoma" w:hAnsi="Tahoma" w:cs="Tahoma"/>
          <w:sz w:val="20"/>
        </w:rPr>
        <w:t>as</w:t>
      </w:r>
      <w:r w:rsidRPr="00BC3DE6">
        <w:rPr>
          <w:rFonts w:ascii="Tahoma" w:hAnsi="Tahoma" w:cs="Tahoma"/>
          <w:sz w:val="20"/>
        </w:rPr>
        <w:t xml:space="preserve"> CONSIDERAÇÕES GERAIS DO CENÁRIO </w:t>
      </w:r>
      <w:r w:rsidRPr="007930C5">
        <w:rPr>
          <w:rFonts w:ascii="Tahoma" w:hAnsi="Tahoma" w:cs="Tahoma"/>
          <w:sz w:val="20"/>
        </w:rPr>
        <w:t>DE 202</w:t>
      </w:r>
      <w:r w:rsidR="00E16EDA" w:rsidRPr="007930C5">
        <w:rPr>
          <w:rFonts w:ascii="Tahoma" w:hAnsi="Tahoma" w:cs="Tahoma"/>
          <w:sz w:val="20"/>
        </w:rPr>
        <w:t>4</w:t>
      </w:r>
      <w:r w:rsidRPr="007930C5">
        <w:rPr>
          <w:rFonts w:ascii="Tahoma" w:hAnsi="Tahoma" w:cs="Tahoma"/>
          <w:sz w:val="20"/>
        </w:rPr>
        <w:t>/202</w:t>
      </w:r>
      <w:r w:rsidR="00E16EDA" w:rsidRPr="007930C5">
        <w:rPr>
          <w:rFonts w:ascii="Tahoma" w:hAnsi="Tahoma" w:cs="Tahoma"/>
          <w:sz w:val="20"/>
        </w:rPr>
        <w:t>5</w:t>
      </w:r>
      <w:r w:rsidR="00D57CDD" w:rsidRPr="00BC3DE6">
        <w:rPr>
          <w:rFonts w:ascii="Tahoma" w:hAnsi="Tahoma" w:cs="Tahoma"/>
          <w:sz w:val="20"/>
        </w:rPr>
        <w:t xml:space="preserve"> e</w:t>
      </w:r>
      <w:r w:rsidR="00133032" w:rsidRPr="00BC3DE6">
        <w:rPr>
          <w:rFonts w:ascii="Tahoma" w:hAnsi="Tahoma" w:cs="Tahoma"/>
          <w:sz w:val="20"/>
        </w:rPr>
        <w:t xml:space="preserve"> o</w:t>
      </w:r>
      <w:r w:rsidRPr="00BC3DE6">
        <w:rPr>
          <w:rFonts w:ascii="Tahoma" w:hAnsi="Tahoma" w:cs="Tahoma"/>
          <w:sz w:val="20"/>
        </w:rPr>
        <w:t xml:space="preserve"> CONTROLE DE RISCO. Temos as DIRETRIZES PARA ALOCAÇÃO DOS RECURSOS, alinhando os elementos de gestão e as suas respectivas restrições</w:t>
      </w:r>
      <w:r w:rsidR="00133032" w:rsidRPr="00BC3DE6">
        <w:rPr>
          <w:rFonts w:ascii="Tahoma" w:hAnsi="Tahoma" w:cs="Tahoma"/>
          <w:sz w:val="20"/>
        </w:rPr>
        <w:t>; a</w:t>
      </w:r>
      <w:r w:rsidRPr="00BC3DE6">
        <w:rPr>
          <w:rFonts w:ascii="Tahoma" w:hAnsi="Tahoma" w:cs="Tahoma"/>
          <w:sz w:val="20"/>
        </w:rPr>
        <w:t xml:space="preserve"> ESTRATÉGIA PARA ALOCAÇÃO DE RECURSOS, onde traçamos os limites de alocações por segmento</w:t>
      </w:r>
      <w:r w:rsidR="00133032" w:rsidRPr="00BC3DE6">
        <w:rPr>
          <w:rFonts w:ascii="Tahoma" w:hAnsi="Tahoma" w:cs="Tahoma"/>
          <w:sz w:val="20"/>
        </w:rPr>
        <w:t>; a</w:t>
      </w:r>
      <w:r w:rsidRPr="00BC3DE6">
        <w:rPr>
          <w:rFonts w:ascii="Tahoma" w:hAnsi="Tahoma" w:cs="Tahoma"/>
          <w:sz w:val="20"/>
        </w:rPr>
        <w:t>s VEDAÇÕES e por fim, as DISPOSIÇÕES GERAIS.</w:t>
      </w:r>
      <w:r w:rsidRPr="00E8601E">
        <w:rPr>
          <w:rFonts w:ascii="Tahoma" w:hAnsi="Tahoma" w:cs="Tahoma"/>
          <w:sz w:val="20"/>
        </w:rPr>
        <w:t xml:space="preserve"> </w:t>
      </w:r>
    </w:p>
    <w:p w:rsidR="00AD12FB" w:rsidRDefault="00AD12FB">
      <w:pPr>
        <w:rPr>
          <w:rFonts w:ascii="Tahoma" w:hAnsi="Tahoma" w:cs="Tahoma"/>
          <w:sz w:val="20"/>
        </w:rPr>
      </w:pPr>
      <w:r>
        <w:rPr>
          <w:rFonts w:ascii="Tahoma" w:hAnsi="Tahoma" w:cs="Tahoma"/>
          <w:sz w:val="20"/>
        </w:rPr>
        <w:br w:type="page"/>
      </w:r>
    </w:p>
    <w:bookmarkStart w:id="4" w:name="_Toc181778154"/>
    <w:p w:rsidR="00465C63" w:rsidRPr="00E8601E" w:rsidRDefault="00AD12FB" w:rsidP="000C021C">
      <w:pPr>
        <w:pStyle w:val="Ttulo1"/>
        <w:rPr>
          <w:sz w:val="20"/>
        </w:rPr>
      </w:pPr>
      <w:r w:rsidRPr="00E4782B">
        <w:object w:dxaOrig="2425" w:dyaOrig="2598">
          <v:shape id="_x0000_i1055" type="#_x0000_t75" style="width:9.4pt;height:8.15pt" o:ole="">
            <v:imagedata r:id="rId8" o:title=""/>
          </v:shape>
          <o:OLEObject Type="Embed" ProgID="CorelDRAW.Graphic.13" ShapeID="_x0000_i1055" DrawAspect="Content" ObjectID="_1792498591" r:id="rId40"/>
        </w:object>
      </w:r>
      <w:r w:rsidR="00465C63" w:rsidRPr="000C021C">
        <w:rPr>
          <w:rStyle w:val="Ttulo1Char"/>
          <w:b/>
          <w:bCs/>
          <w:sz w:val="21"/>
          <w:szCs w:val="21"/>
        </w:rPr>
        <w:t xml:space="preserve">VIGÊNCIA E OBJETIVOS DA </w:t>
      </w:r>
      <w:r w:rsidR="007A0B11" w:rsidRPr="000C021C">
        <w:rPr>
          <w:rStyle w:val="Ttulo1Char"/>
          <w:b/>
          <w:bCs/>
          <w:sz w:val="21"/>
          <w:szCs w:val="21"/>
        </w:rPr>
        <w:t>POLÍTICA DE INVESTIMENTOS</w:t>
      </w:r>
      <w:r w:rsidR="00465C63" w:rsidRPr="000C021C">
        <w:rPr>
          <w:rStyle w:val="Ttulo1Char"/>
          <w:b/>
          <w:bCs/>
          <w:sz w:val="21"/>
          <w:szCs w:val="21"/>
        </w:rPr>
        <w:t xml:space="preserve"> 202</w:t>
      </w:r>
      <w:r w:rsidR="00E16EDA" w:rsidRPr="000C021C">
        <w:rPr>
          <w:rStyle w:val="Ttulo1Char"/>
          <w:b/>
          <w:bCs/>
          <w:sz w:val="21"/>
          <w:szCs w:val="21"/>
        </w:rPr>
        <w:t>5</w:t>
      </w:r>
      <w:r w:rsidR="00465C63" w:rsidRPr="00E8601E">
        <w:t xml:space="preserve"> </w:t>
      </w:r>
      <w:bookmarkEnd w:id="4"/>
      <w:r w:rsidR="00465C63" w:rsidRPr="00E8601E">
        <w:rPr>
          <w:sz w:val="20"/>
        </w:rPr>
        <w:object w:dxaOrig="3163" w:dyaOrig="3187">
          <v:shape id="_x0000_i1056" type="#_x0000_t75" style="width:21.9pt;height:23.15pt" o:ole="">
            <v:imagedata r:id="rId10" o:title=""/>
          </v:shape>
          <o:OLEObject Type="Embed" ProgID="CorelDRAW.Graphic.13" ShapeID="_x0000_i1056" DrawAspect="Content" ObjectID="_1792498592" r:id="rId41"/>
        </w:object>
      </w:r>
    </w:p>
    <w:p w:rsidR="00465C63" w:rsidRPr="00BC3DE6" w:rsidRDefault="00465C63" w:rsidP="00EC5FD6">
      <w:pPr>
        <w:pStyle w:val="Subttulo"/>
        <w:rPr>
          <w:sz w:val="20"/>
        </w:rPr>
      </w:pPr>
      <w:bookmarkStart w:id="5" w:name="_Toc181778155"/>
      <w:r w:rsidRPr="00BC3DE6">
        <w:rPr>
          <w:sz w:val="20"/>
        </w:rPr>
        <w:t>Da Vigência</w:t>
      </w:r>
      <w:bookmarkEnd w:id="5"/>
    </w:p>
    <w:p w:rsidR="00465C63" w:rsidRPr="00BC3DE6" w:rsidRDefault="00465C63" w:rsidP="000F7FA7">
      <w:pPr>
        <w:spacing w:after="120"/>
        <w:ind w:firstLine="709"/>
        <w:jc w:val="both"/>
        <w:rPr>
          <w:rFonts w:ascii="Tahoma" w:hAnsi="Tahoma" w:cs="Tahoma"/>
          <w:sz w:val="20"/>
        </w:rPr>
      </w:pPr>
      <w:r w:rsidRPr="00BC3DE6">
        <w:rPr>
          <w:rFonts w:ascii="Tahoma" w:hAnsi="Tahoma" w:cs="Tahoma"/>
          <w:sz w:val="20"/>
        </w:rPr>
        <w:t xml:space="preserve">Esta </w:t>
      </w:r>
      <w:r w:rsidR="007A0B11" w:rsidRPr="00BC3DE6">
        <w:rPr>
          <w:rFonts w:ascii="Tahoma" w:hAnsi="Tahoma" w:cs="Tahoma"/>
          <w:sz w:val="20"/>
        </w:rPr>
        <w:t>Política de Investimentos</w:t>
      </w:r>
      <w:r w:rsidRPr="00BC3DE6">
        <w:rPr>
          <w:rFonts w:ascii="Tahoma" w:hAnsi="Tahoma" w:cs="Tahoma"/>
          <w:sz w:val="20"/>
        </w:rPr>
        <w:t xml:space="preserve"> será válida para todo o </w:t>
      </w:r>
      <w:r w:rsidRPr="00BC3DE6">
        <w:rPr>
          <w:rFonts w:ascii="Tahoma" w:hAnsi="Tahoma" w:cs="Tahoma"/>
          <w:b/>
          <w:sz w:val="20"/>
        </w:rPr>
        <w:t>EXERCÍCIO DE 202</w:t>
      </w:r>
      <w:r w:rsidR="00E16EDA" w:rsidRPr="00BC3DE6">
        <w:rPr>
          <w:rFonts w:ascii="Tahoma" w:hAnsi="Tahoma" w:cs="Tahoma"/>
          <w:b/>
          <w:sz w:val="20"/>
        </w:rPr>
        <w:t>5</w:t>
      </w:r>
      <w:r w:rsidRPr="00BC3DE6">
        <w:rPr>
          <w:rFonts w:ascii="Tahoma" w:hAnsi="Tahoma" w:cs="Tahoma"/>
          <w:sz w:val="20"/>
        </w:rPr>
        <w:t>. Durante este período</w:t>
      </w:r>
      <w:r w:rsidR="0095399B">
        <w:rPr>
          <w:rFonts w:ascii="Tahoma" w:hAnsi="Tahoma" w:cs="Tahoma"/>
          <w:sz w:val="20"/>
        </w:rPr>
        <w:t>,</w:t>
      </w:r>
      <w:r w:rsidRPr="00BC3DE6">
        <w:rPr>
          <w:rFonts w:ascii="Tahoma" w:hAnsi="Tahoma" w:cs="Tahoma"/>
          <w:sz w:val="20"/>
        </w:rPr>
        <w:t xml:space="preserve"> correções e alterações poderão ocorrer para adequar mudanças na legislação aplicável ou</w:t>
      </w:r>
      <w:r w:rsidR="00142E87" w:rsidRPr="00BC3DE6">
        <w:rPr>
          <w:rFonts w:ascii="Tahoma" w:hAnsi="Tahoma" w:cs="Tahoma"/>
          <w:sz w:val="20"/>
        </w:rPr>
        <w:t>,</w:t>
      </w:r>
      <w:r w:rsidRPr="00BC3DE6">
        <w:rPr>
          <w:rFonts w:ascii="Tahoma" w:hAnsi="Tahoma" w:cs="Tahoma"/>
          <w:sz w:val="20"/>
        </w:rPr>
        <w:t xml:space="preserve"> caso seja considerado necessário pelo </w:t>
      </w:r>
      <w:r w:rsidR="008F04AC" w:rsidRPr="00BC3DE6">
        <w:rPr>
          <w:rFonts w:ascii="Tahoma" w:hAnsi="Tahoma" w:cs="Tahoma"/>
          <w:b/>
          <w:noProof/>
          <w:sz w:val="20"/>
        </w:rPr>
        <w:fldChar w:fldCharType="begin"/>
      </w:r>
      <w:r w:rsidR="00616F1F" w:rsidRPr="00BC3DE6">
        <w:rPr>
          <w:rFonts w:ascii="Tahoma" w:hAnsi="Tahoma" w:cs="Tahoma"/>
          <w:b/>
          <w:noProof/>
          <w:sz w:val="20"/>
        </w:rPr>
        <w:instrText xml:space="preserve"> MERGEFIELD NOME_DO_FUNDO </w:instrText>
      </w:r>
      <w:r w:rsidR="008F04AC" w:rsidRPr="00BC3DE6">
        <w:rPr>
          <w:rFonts w:ascii="Tahoma" w:hAnsi="Tahoma" w:cs="Tahoma"/>
          <w:b/>
          <w:noProof/>
          <w:sz w:val="20"/>
        </w:rPr>
        <w:fldChar w:fldCharType="separate"/>
      </w:r>
      <w:r w:rsidR="004A232E" w:rsidRPr="00BC514D">
        <w:rPr>
          <w:rFonts w:ascii="Tahoma" w:hAnsi="Tahoma" w:cs="Tahoma"/>
          <w:b/>
          <w:noProof/>
          <w:sz w:val="20"/>
        </w:rPr>
        <w:t>REGIME PRÓPRIO DE PREVIDÊNCIA DO SERVIDOR DE ENTRE-IJUÍS</w:t>
      </w:r>
      <w:r w:rsidR="008F04AC" w:rsidRPr="00BC3DE6">
        <w:rPr>
          <w:rFonts w:ascii="Tahoma" w:hAnsi="Tahoma" w:cs="Tahoma"/>
          <w:b/>
          <w:noProof/>
          <w:sz w:val="20"/>
        </w:rPr>
        <w:fldChar w:fldCharType="end"/>
      </w:r>
      <w:r w:rsidR="00142E87" w:rsidRPr="00BC3DE6">
        <w:rPr>
          <w:rFonts w:ascii="Tahoma" w:hAnsi="Tahoma" w:cs="Tahoma"/>
          <w:sz w:val="20"/>
        </w:rPr>
        <w:t xml:space="preserve">, </w:t>
      </w:r>
      <w:r w:rsidR="005731B7" w:rsidRPr="00BC3DE6">
        <w:rPr>
          <w:rFonts w:ascii="Tahoma" w:hAnsi="Tahoma" w:cs="Tahoma"/>
          <w:sz w:val="20"/>
        </w:rPr>
        <w:t>a</w:t>
      </w:r>
      <w:r w:rsidRPr="00BC3DE6">
        <w:rPr>
          <w:rFonts w:ascii="Tahoma" w:hAnsi="Tahoma" w:cs="Tahoma"/>
          <w:sz w:val="20"/>
        </w:rPr>
        <w:t>té 31 de Dezembro de cada exercício</w:t>
      </w:r>
      <w:r w:rsidR="00F918BC" w:rsidRPr="00BC3DE6">
        <w:rPr>
          <w:rFonts w:ascii="Tahoma" w:hAnsi="Tahoma" w:cs="Tahoma"/>
          <w:sz w:val="20"/>
        </w:rPr>
        <w:t>.</w:t>
      </w:r>
      <w:r w:rsidRPr="00BC3DE6">
        <w:rPr>
          <w:rFonts w:ascii="Tahoma" w:hAnsi="Tahoma" w:cs="Tahoma"/>
          <w:sz w:val="20"/>
        </w:rPr>
        <w:t xml:space="preserve"> </w:t>
      </w:r>
      <w:r w:rsidR="00F918BC" w:rsidRPr="00BC3DE6">
        <w:rPr>
          <w:rFonts w:ascii="Tahoma" w:hAnsi="Tahoma" w:cs="Tahoma"/>
          <w:sz w:val="20"/>
        </w:rPr>
        <w:t xml:space="preserve">Ressalta-se que, em nenhuma oportunidade será permitida a existência de duas </w:t>
      </w:r>
      <w:r w:rsidR="00142E87" w:rsidRPr="00BC3DE6">
        <w:rPr>
          <w:rFonts w:ascii="Tahoma" w:hAnsi="Tahoma" w:cs="Tahoma"/>
          <w:sz w:val="20"/>
        </w:rPr>
        <w:t>P</w:t>
      </w:r>
      <w:r w:rsidR="00F918BC" w:rsidRPr="00BC3DE6">
        <w:rPr>
          <w:rFonts w:ascii="Tahoma" w:hAnsi="Tahoma" w:cs="Tahoma"/>
          <w:sz w:val="20"/>
        </w:rPr>
        <w:t xml:space="preserve">olíticas de </w:t>
      </w:r>
      <w:r w:rsidR="00142E87" w:rsidRPr="00BC3DE6">
        <w:rPr>
          <w:rFonts w:ascii="Tahoma" w:hAnsi="Tahoma" w:cs="Tahoma"/>
          <w:sz w:val="20"/>
        </w:rPr>
        <w:t>I</w:t>
      </w:r>
      <w:r w:rsidR="00F918BC" w:rsidRPr="00BC3DE6">
        <w:rPr>
          <w:rFonts w:ascii="Tahoma" w:hAnsi="Tahoma" w:cs="Tahoma"/>
          <w:sz w:val="20"/>
        </w:rPr>
        <w:t>nvestimentos abrangendo o mesmo exercício</w:t>
      </w:r>
      <w:r w:rsidRPr="00BC3DE6">
        <w:rPr>
          <w:rFonts w:ascii="Tahoma" w:hAnsi="Tahoma" w:cs="Tahoma"/>
          <w:sz w:val="20"/>
        </w:rPr>
        <w:t>.</w:t>
      </w:r>
    </w:p>
    <w:p w:rsidR="00465C63" w:rsidRPr="00BC3DE6" w:rsidRDefault="00465C63" w:rsidP="000F7FA7">
      <w:pPr>
        <w:spacing w:after="120"/>
        <w:ind w:firstLine="709"/>
        <w:jc w:val="both"/>
        <w:rPr>
          <w:rFonts w:ascii="Tahoma" w:hAnsi="Tahoma" w:cs="Tahoma"/>
          <w:sz w:val="20"/>
        </w:rPr>
      </w:pPr>
    </w:p>
    <w:p w:rsidR="00465C63" w:rsidRPr="00BC3DE6" w:rsidRDefault="00465C63" w:rsidP="00EC5FD6">
      <w:pPr>
        <w:pStyle w:val="Subttulo"/>
        <w:rPr>
          <w:sz w:val="20"/>
        </w:rPr>
      </w:pPr>
      <w:bookmarkStart w:id="6" w:name="_Toc181778156"/>
      <w:r w:rsidRPr="00BC3DE6">
        <w:rPr>
          <w:sz w:val="20"/>
        </w:rPr>
        <w:t>Dos Objetivos</w:t>
      </w:r>
      <w:bookmarkEnd w:id="6"/>
    </w:p>
    <w:p w:rsidR="00465C63" w:rsidRPr="00E8601E" w:rsidRDefault="00465C63" w:rsidP="000F7FA7">
      <w:pPr>
        <w:spacing w:after="120"/>
        <w:ind w:firstLine="709"/>
        <w:jc w:val="both"/>
        <w:rPr>
          <w:rFonts w:ascii="Tahoma" w:hAnsi="Tahoma" w:cs="Tahoma"/>
          <w:sz w:val="20"/>
        </w:rPr>
      </w:pPr>
      <w:r w:rsidRPr="00BC3DE6">
        <w:rPr>
          <w:rFonts w:ascii="Tahoma" w:hAnsi="Tahoma" w:cs="Tahoma"/>
          <w:sz w:val="20"/>
        </w:rPr>
        <w:t xml:space="preserve">Os objetivos contemplam horizontes de curto </w:t>
      </w:r>
      <w:r w:rsidR="00F918BC" w:rsidRPr="00BC3DE6">
        <w:rPr>
          <w:rFonts w:ascii="Tahoma" w:hAnsi="Tahoma" w:cs="Tahoma"/>
          <w:sz w:val="20"/>
        </w:rPr>
        <w:t>e</w:t>
      </w:r>
      <w:r w:rsidRPr="00BC3DE6">
        <w:rPr>
          <w:rFonts w:ascii="Tahoma" w:hAnsi="Tahoma" w:cs="Tahoma"/>
          <w:sz w:val="20"/>
        </w:rPr>
        <w:t xml:space="preserve"> longo prazo. Em essência, o </w:t>
      </w:r>
      <w:r w:rsidR="00F53C5D" w:rsidRPr="00BC3DE6">
        <w:rPr>
          <w:rFonts w:ascii="Tahoma" w:hAnsi="Tahoma" w:cs="Tahoma"/>
          <w:sz w:val="20"/>
        </w:rPr>
        <w:t>Regime Próprio de Previdência Social</w:t>
      </w:r>
      <w:r w:rsidRPr="00BC3DE6">
        <w:rPr>
          <w:rFonts w:ascii="Tahoma" w:hAnsi="Tahoma" w:cs="Tahoma"/>
          <w:sz w:val="20"/>
        </w:rPr>
        <w:t xml:space="preserve"> dos servidores públicos do </w:t>
      </w:r>
      <w:r w:rsidR="008F04AC" w:rsidRPr="00BC3DE6">
        <w:rPr>
          <w:rFonts w:ascii="Tahoma" w:hAnsi="Tahoma" w:cs="Tahoma"/>
          <w:b/>
          <w:noProof/>
          <w:sz w:val="20"/>
        </w:rPr>
        <w:fldChar w:fldCharType="begin"/>
      </w:r>
      <w:r w:rsidR="00616F1F" w:rsidRPr="00BC3DE6">
        <w:rPr>
          <w:rFonts w:ascii="Tahoma" w:hAnsi="Tahoma" w:cs="Tahoma"/>
          <w:b/>
          <w:noProof/>
          <w:sz w:val="20"/>
        </w:rPr>
        <w:instrText xml:space="preserve"> MERGEFIELD RPPS </w:instrText>
      </w:r>
      <w:r w:rsidR="008F04AC" w:rsidRPr="00BC3DE6">
        <w:rPr>
          <w:rFonts w:ascii="Tahoma" w:hAnsi="Tahoma" w:cs="Tahoma"/>
          <w:b/>
          <w:noProof/>
          <w:sz w:val="20"/>
        </w:rPr>
        <w:fldChar w:fldCharType="separate"/>
      </w:r>
      <w:r w:rsidR="004A232E" w:rsidRPr="00BC514D">
        <w:rPr>
          <w:rFonts w:ascii="Tahoma" w:hAnsi="Tahoma" w:cs="Tahoma"/>
          <w:b/>
          <w:noProof/>
          <w:sz w:val="20"/>
        </w:rPr>
        <w:t>MUNICÍPIO DE ENTRE-IJUÍS</w:t>
      </w:r>
      <w:r w:rsidR="008F04AC" w:rsidRPr="00BC3DE6">
        <w:rPr>
          <w:rFonts w:ascii="Tahoma" w:hAnsi="Tahoma" w:cs="Tahoma"/>
          <w:b/>
          <w:noProof/>
          <w:sz w:val="20"/>
        </w:rPr>
        <w:fldChar w:fldCharType="end"/>
      </w:r>
      <w:r w:rsidRPr="00BC3DE6">
        <w:rPr>
          <w:rFonts w:ascii="Tahoma" w:hAnsi="Tahoma" w:cs="Tahoma"/>
          <w:sz w:val="20"/>
        </w:rPr>
        <w:t xml:space="preserve"> deve ser organizado para garantir a cobertura contínua dos seus segurados por meio do plano de benefícios. Para isso, o seu equilíbrio financeiro e, principalmente, atuarial</w:t>
      </w:r>
      <w:r w:rsidR="0095399B">
        <w:rPr>
          <w:rFonts w:ascii="Tahoma" w:hAnsi="Tahoma" w:cs="Tahoma"/>
          <w:sz w:val="20"/>
        </w:rPr>
        <w:t>,</w:t>
      </w:r>
      <w:r w:rsidRPr="00BC3DE6">
        <w:rPr>
          <w:rFonts w:ascii="Tahoma" w:hAnsi="Tahoma" w:cs="Tahoma"/>
          <w:sz w:val="20"/>
        </w:rPr>
        <w:t xml:space="preserve"> representa o seu objetivo de longo prazo. Além disso, precisa visar permanentemente </w:t>
      </w:r>
      <w:r w:rsidR="005731B7" w:rsidRPr="00BC3DE6">
        <w:rPr>
          <w:rFonts w:ascii="Tahoma" w:hAnsi="Tahoma" w:cs="Tahoma"/>
          <w:sz w:val="20"/>
        </w:rPr>
        <w:t>a</w:t>
      </w:r>
      <w:r w:rsidRPr="00BC3DE6">
        <w:rPr>
          <w:rFonts w:ascii="Tahoma" w:hAnsi="Tahoma" w:cs="Tahoma"/>
          <w:sz w:val="20"/>
        </w:rPr>
        <w:t xml:space="preserve"> construção de processos de pleno acesso dos segurados </w:t>
      </w:r>
      <w:r w:rsidR="005731B7" w:rsidRPr="00BC3DE6">
        <w:rPr>
          <w:rFonts w:ascii="Tahoma" w:hAnsi="Tahoma" w:cs="Tahoma"/>
          <w:sz w:val="20"/>
        </w:rPr>
        <w:t>a</w:t>
      </w:r>
      <w:r w:rsidRPr="00BC3DE6">
        <w:rPr>
          <w:rFonts w:ascii="Tahoma" w:hAnsi="Tahoma" w:cs="Tahoma"/>
          <w:sz w:val="20"/>
        </w:rPr>
        <w:t>s informações relativas à gestão do regime e participação de representantes dos servidores públicos, ativos e inativos, nos colegiados e instâncias de decisão em que os seus interesses sejam objeto de discussão e deliberação, nos termos do art. 6º, Inciso IV e art. 1º, Inciso VI</w:t>
      </w:r>
      <w:r w:rsidR="00142E87" w:rsidRPr="00BC3DE6">
        <w:rPr>
          <w:rFonts w:ascii="Tahoma" w:hAnsi="Tahoma" w:cs="Tahoma"/>
          <w:sz w:val="20"/>
        </w:rPr>
        <w:t>,</w:t>
      </w:r>
      <w:r w:rsidRPr="00BC3DE6">
        <w:rPr>
          <w:rFonts w:ascii="Tahoma" w:hAnsi="Tahoma" w:cs="Tahoma"/>
          <w:sz w:val="20"/>
        </w:rPr>
        <w:t xml:space="preserve"> da Lei 9.717/98.</w:t>
      </w:r>
      <w:r w:rsidRPr="00E8601E">
        <w:rPr>
          <w:rFonts w:ascii="Tahoma" w:hAnsi="Tahoma" w:cs="Tahoma"/>
          <w:sz w:val="20"/>
        </w:rPr>
        <w:t xml:space="preserve"> </w:t>
      </w:r>
    </w:p>
    <w:p w:rsidR="00465C63" w:rsidRPr="00BC3DE6" w:rsidRDefault="00465C63" w:rsidP="000F7FA7">
      <w:pPr>
        <w:spacing w:after="120"/>
        <w:ind w:firstLine="709"/>
        <w:jc w:val="both"/>
        <w:rPr>
          <w:rFonts w:ascii="Tahoma" w:hAnsi="Tahoma" w:cs="Tahoma"/>
          <w:sz w:val="20"/>
        </w:rPr>
      </w:pPr>
      <w:r w:rsidRPr="00BC3DE6">
        <w:rPr>
          <w:rFonts w:ascii="Tahoma" w:hAnsi="Tahoma" w:cs="Tahoma"/>
          <w:sz w:val="20"/>
        </w:rPr>
        <w:t xml:space="preserve">Nesse sentido, a </w:t>
      </w:r>
      <w:r w:rsidR="007A0B11" w:rsidRPr="00BC3DE6">
        <w:rPr>
          <w:rFonts w:ascii="Tahoma" w:hAnsi="Tahoma" w:cs="Tahoma"/>
          <w:sz w:val="20"/>
        </w:rPr>
        <w:t>Política de Investimentos</w:t>
      </w:r>
      <w:r w:rsidRPr="00BC3DE6">
        <w:rPr>
          <w:rFonts w:ascii="Tahoma" w:hAnsi="Tahoma" w:cs="Tahoma"/>
          <w:sz w:val="20"/>
        </w:rPr>
        <w:t xml:space="preserve"> define a estratégia de aplicação dos recursos no curto prazo. Anualmente, é necessário selecionar os diversos segmentos de aplicação e as respectivas carteiras de investimentos de acordo com o perfil das obrigações do respectivo </w:t>
      </w:r>
      <w:r w:rsidR="00F53C5D" w:rsidRPr="00BC3DE6">
        <w:rPr>
          <w:rFonts w:ascii="Tahoma" w:hAnsi="Tahoma" w:cs="Tahoma"/>
          <w:sz w:val="20"/>
        </w:rPr>
        <w:t>Regime Próprio de Previdência Social</w:t>
      </w:r>
      <w:r w:rsidRPr="00BC3DE6">
        <w:rPr>
          <w:rFonts w:ascii="Tahoma" w:hAnsi="Tahoma" w:cs="Tahoma"/>
          <w:sz w:val="20"/>
        </w:rPr>
        <w:t>, observados os critérios para aplicação dos recursos, conforme estabelecido pelo Conselho Monetário Nacional</w:t>
      </w:r>
      <w:r w:rsidR="00142E87" w:rsidRPr="00BC3DE6">
        <w:rPr>
          <w:rFonts w:ascii="Tahoma" w:hAnsi="Tahoma" w:cs="Tahoma"/>
          <w:sz w:val="20"/>
        </w:rPr>
        <w:t xml:space="preserve"> (CMN)</w:t>
      </w:r>
      <w:r w:rsidRPr="00BC3DE6">
        <w:rPr>
          <w:rFonts w:ascii="Tahoma" w:hAnsi="Tahoma" w:cs="Tahoma"/>
          <w:sz w:val="20"/>
        </w:rPr>
        <w:t>, tendo em vista a necessidade de buscar a manutenção do equilíbrio financeiro e atuarial e os limites de diversificação e concentração previstos na referida legislação.</w:t>
      </w:r>
    </w:p>
    <w:p w:rsidR="00092B14" w:rsidRPr="00092B14" w:rsidRDefault="00092B14" w:rsidP="000F7FA7">
      <w:pPr>
        <w:spacing w:after="120"/>
        <w:ind w:firstLine="709"/>
        <w:jc w:val="both"/>
        <w:rPr>
          <w:rFonts w:ascii="Tahoma" w:hAnsi="Tahoma" w:cs="Tahoma"/>
          <w:sz w:val="20"/>
        </w:rPr>
      </w:pPr>
      <w:r w:rsidRPr="00BC3DE6">
        <w:rPr>
          <w:rFonts w:ascii="Tahoma" w:hAnsi="Tahoma" w:cs="Tahoma"/>
          <w:sz w:val="20"/>
        </w:rPr>
        <w:t xml:space="preserve">A </w:t>
      </w:r>
      <w:r w:rsidR="0095380A" w:rsidRPr="00BC3DE6">
        <w:rPr>
          <w:rFonts w:ascii="Tahoma" w:hAnsi="Tahoma" w:cs="Tahoma"/>
          <w:sz w:val="20"/>
        </w:rPr>
        <w:t>P</w:t>
      </w:r>
      <w:r w:rsidRPr="00BC3DE6">
        <w:rPr>
          <w:rFonts w:ascii="Tahoma" w:hAnsi="Tahoma" w:cs="Tahoma"/>
          <w:sz w:val="20"/>
        </w:rPr>
        <w:t>ortaria</w:t>
      </w:r>
      <w:r w:rsidR="0095380A" w:rsidRPr="00BC3DE6">
        <w:rPr>
          <w:rFonts w:ascii="Tahoma" w:hAnsi="Tahoma" w:cs="Tahoma"/>
          <w:sz w:val="20"/>
        </w:rPr>
        <w:t xml:space="preserve"> M</w:t>
      </w:r>
      <w:r w:rsidR="00BC3DE6" w:rsidRPr="00BC3DE6">
        <w:rPr>
          <w:rFonts w:ascii="Tahoma" w:hAnsi="Tahoma" w:cs="Tahoma"/>
          <w:sz w:val="20"/>
        </w:rPr>
        <w:t>TP</w:t>
      </w:r>
      <w:r w:rsidR="0095380A" w:rsidRPr="00BC3DE6">
        <w:rPr>
          <w:rFonts w:ascii="Tahoma" w:hAnsi="Tahoma" w:cs="Tahoma"/>
          <w:sz w:val="20"/>
        </w:rPr>
        <w:t xml:space="preserve"> nº</w:t>
      </w:r>
      <w:r w:rsidRPr="00BC3DE6">
        <w:rPr>
          <w:rFonts w:ascii="Tahoma" w:hAnsi="Tahoma" w:cs="Tahoma"/>
          <w:sz w:val="20"/>
        </w:rPr>
        <w:t xml:space="preserve"> 1.4</w:t>
      </w:r>
      <w:r w:rsidR="0095380A" w:rsidRPr="00BC3DE6">
        <w:rPr>
          <w:rFonts w:ascii="Tahoma" w:hAnsi="Tahoma" w:cs="Tahoma"/>
          <w:sz w:val="20"/>
        </w:rPr>
        <w:t>67</w:t>
      </w:r>
      <w:r w:rsidRPr="00BC3DE6">
        <w:rPr>
          <w:rFonts w:ascii="Tahoma" w:hAnsi="Tahoma" w:cs="Tahoma"/>
          <w:sz w:val="20"/>
        </w:rPr>
        <w:t>/202</w:t>
      </w:r>
      <w:r w:rsidR="0095380A" w:rsidRPr="00BC3DE6">
        <w:rPr>
          <w:rFonts w:ascii="Tahoma" w:hAnsi="Tahoma" w:cs="Tahoma"/>
          <w:sz w:val="20"/>
        </w:rPr>
        <w:t>2</w:t>
      </w:r>
      <w:r w:rsidRPr="00BC3DE6">
        <w:rPr>
          <w:rFonts w:ascii="Tahoma" w:hAnsi="Tahoma" w:cs="Tahoma"/>
          <w:sz w:val="20"/>
        </w:rPr>
        <w:t xml:space="preserve">, em seu artigo 102, elenca o que a </w:t>
      </w:r>
      <w:r w:rsidR="007A0B11" w:rsidRPr="00BC3DE6">
        <w:rPr>
          <w:rFonts w:ascii="Tahoma" w:hAnsi="Tahoma" w:cs="Tahoma"/>
          <w:sz w:val="20"/>
        </w:rPr>
        <w:t>Política de Investimentos</w:t>
      </w:r>
      <w:r w:rsidRPr="00BC3DE6">
        <w:rPr>
          <w:rFonts w:ascii="Tahoma" w:hAnsi="Tahoma" w:cs="Tahoma"/>
          <w:sz w:val="20"/>
        </w:rPr>
        <w:t xml:space="preserve"> deve</w:t>
      </w:r>
      <w:r w:rsidR="0095380A" w:rsidRPr="00BC3DE6">
        <w:rPr>
          <w:rFonts w:ascii="Tahoma" w:hAnsi="Tahoma" w:cs="Tahoma"/>
          <w:sz w:val="20"/>
        </w:rPr>
        <w:t xml:space="preserve"> contemplar</w:t>
      </w:r>
      <w:r w:rsidRPr="00BC3DE6">
        <w:rPr>
          <w:rFonts w:ascii="Tahoma" w:hAnsi="Tahoma" w:cs="Tahoma"/>
          <w:sz w:val="20"/>
        </w:rPr>
        <w:t xml:space="preserve">, no que se refere aos parâmetros de rentabilidade perseguidos, </w:t>
      </w:r>
      <w:r w:rsidR="0095380A" w:rsidRPr="00BC3DE6">
        <w:rPr>
          <w:rFonts w:ascii="Tahoma" w:hAnsi="Tahoma" w:cs="Tahoma"/>
          <w:sz w:val="20"/>
        </w:rPr>
        <w:t>sobretudo</w:t>
      </w:r>
      <w:r w:rsidR="0095399B">
        <w:rPr>
          <w:rFonts w:ascii="Tahoma" w:hAnsi="Tahoma" w:cs="Tahoma"/>
          <w:sz w:val="20"/>
        </w:rPr>
        <w:t>,</w:t>
      </w:r>
      <w:r w:rsidR="0095380A" w:rsidRPr="00BC3DE6">
        <w:rPr>
          <w:rFonts w:ascii="Tahoma" w:hAnsi="Tahoma" w:cs="Tahoma"/>
          <w:sz w:val="20"/>
        </w:rPr>
        <w:t xml:space="preserve"> </w:t>
      </w:r>
      <w:r w:rsidRPr="00BC3DE6">
        <w:rPr>
          <w:rFonts w:ascii="Tahoma" w:hAnsi="Tahoma" w:cs="Tahoma"/>
          <w:sz w:val="20"/>
        </w:rPr>
        <w:t>definir a meta de rentabilidade futura dos investimentos</w:t>
      </w:r>
      <w:r w:rsidR="0095399B">
        <w:rPr>
          <w:rFonts w:ascii="Tahoma" w:hAnsi="Tahoma" w:cs="Tahoma"/>
          <w:sz w:val="20"/>
        </w:rPr>
        <w:t>,</w:t>
      </w:r>
      <w:r w:rsidRPr="00BC3DE6">
        <w:rPr>
          <w:rFonts w:ascii="Tahoma" w:hAnsi="Tahoma" w:cs="Tahoma"/>
          <w:sz w:val="20"/>
        </w:rPr>
        <w:t xml:space="preserve"> que será utilizada para balizar a aderência da taxa utilizada na avaliação atuarial do regime</w:t>
      </w:r>
      <w:r w:rsidR="00BC3DE6" w:rsidRPr="00BC3DE6">
        <w:rPr>
          <w:rFonts w:ascii="Tahoma" w:hAnsi="Tahoma" w:cs="Tahoma"/>
          <w:sz w:val="20"/>
        </w:rPr>
        <w:t>.</w:t>
      </w:r>
    </w:p>
    <w:p w:rsidR="00092B14" w:rsidRPr="00E8601E" w:rsidRDefault="00092B14" w:rsidP="000F7FA7">
      <w:pPr>
        <w:spacing w:after="120"/>
        <w:ind w:firstLine="709"/>
        <w:jc w:val="both"/>
        <w:rPr>
          <w:rFonts w:ascii="Tahoma" w:hAnsi="Tahoma" w:cs="Tahoma"/>
          <w:sz w:val="20"/>
        </w:rPr>
      </w:pPr>
      <w:r w:rsidRPr="00092B14">
        <w:rPr>
          <w:rFonts w:ascii="Tahoma" w:hAnsi="Tahoma" w:cs="Tahoma"/>
          <w:sz w:val="20"/>
        </w:rPr>
        <w:t xml:space="preserve">Além disso, deve-se levar em consideração o disposto no </w:t>
      </w:r>
      <w:r w:rsidRPr="00BC3DE6">
        <w:rPr>
          <w:rFonts w:ascii="Tahoma" w:hAnsi="Tahoma" w:cs="Tahoma"/>
          <w:sz w:val="20"/>
        </w:rPr>
        <w:t>Art. 4º</w:t>
      </w:r>
      <w:r w:rsidR="004B423B" w:rsidRPr="00BC3DE6">
        <w:rPr>
          <w:rFonts w:ascii="Tahoma" w:hAnsi="Tahoma" w:cs="Tahoma"/>
          <w:sz w:val="20"/>
        </w:rPr>
        <w:t>,</w:t>
      </w:r>
      <w:r w:rsidRPr="00BC3DE6">
        <w:rPr>
          <w:rFonts w:ascii="Tahoma" w:hAnsi="Tahoma" w:cs="Tahoma"/>
          <w:sz w:val="20"/>
        </w:rPr>
        <w:t xml:space="preserve"> da</w:t>
      </w:r>
      <w:r w:rsidRPr="00092B14">
        <w:rPr>
          <w:rFonts w:ascii="Tahoma" w:hAnsi="Tahoma" w:cs="Tahoma"/>
          <w:sz w:val="20"/>
        </w:rPr>
        <w:t xml:space="preserve"> Seção II, do Anexo VII, da Portaria </w:t>
      </w:r>
      <w:r w:rsidR="0034319A">
        <w:rPr>
          <w:rFonts w:ascii="Tahoma" w:hAnsi="Tahoma" w:cs="Tahoma"/>
          <w:sz w:val="20"/>
        </w:rPr>
        <w:t xml:space="preserve">MTP nº </w:t>
      </w:r>
      <w:r w:rsidR="007F6D14">
        <w:rPr>
          <w:rFonts w:ascii="Tahoma" w:hAnsi="Tahoma" w:cs="Tahoma"/>
          <w:sz w:val="20"/>
        </w:rPr>
        <w:t>1.467</w:t>
      </w:r>
      <w:r w:rsidR="0034319A">
        <w:rPr>
          <w:rFonts w:ascii="Tahoma" w:hAnsi="Tahoma" w:cs="Tahoma"/>
          <w:sz w:val="20"/>
        </w:rPr>
        <w:t>/2022</w:t>
      </w:r>
      <w:r w:rsidRPr="00092B14">
        <w:rPr>
          <w:rFonts w:ascii="Tahoma" w:hAnsi="Tahoma" w:cs="Tahoma"/>
          <w:sz w:val="20"/>
        </w:rPr>
        <w:t xml:space="preserve">, alterada pela </w:t>
      </w:r>
      <w:r w:rsidRPr="0034319A">
        <w:rPr>
          <w:rFonts w:ascii="Tahoma" w:hAnsi="Tahoma" w:cs="Tahoma"/>
          <w:b/>
          <w:bCs/>
          <w:sz w:val="20"/>
        </w:rPr>
        <w:t xml:space="preserve">Portaria MPS nº </w:t>
      </w:r>
      <w:r w:rsidR="00BC3DE6" w:rsidRPr="0034319A">
        <w:rPr>
          <w:rFonts w:ascii="Tahoma" w:hAnsi="Tahoma" w:cs="Tahoma"/>
          <w:b/>
          <w:bCs/>
          <w:sz w:val="20"/>
        </w:rPr>
        <w:t>1.499</w:t>
      </w:r>
      <w:r w:rsidR="004B423B" w:rsidRPr="0034319A">
        <w:rPr>
          <w:rFonts w:ascii="Tahoma" w:hAnsi="Tahoma" w:cs="Tahoma"/>
          <w:b/>
          <w:bCs/>
          <w:sz w:val="20"/>
        </w:rPr>
        <w:t xml:space="preserve">, de </w:t>
      </w:r>
      <w:r w:rsidR="00BC3DE6" w:rsidRPr="0034319A">
        <w:rPr>
          <w:rFonts w:ascii="Tahoma" w:hAnsi="Tahoma" w:cs="Tahoma"/>
          <w:b/>
          <w:bCs/>
          <w:sz w:val="20"/>
        </w:rPr>
        <w:t>28 de maio de 2024</w:t>
      </w:r>
      <w:r w:rsidR="0095399B" w:rsidRPr="0095399B">
        <w:rPr>
          <w:rFonts w:ascii="Tahoma" w:hAnsi="Tahoma" w:cs="Tahoma"/>
          <w:sz w:val="20"/>
        </w:rPr>
        <w:t>,</w:t>
      </w:r>
      <w:r w:rsidR="00BC3DE6">
        <w:rPr>
          <w:rFonts w:ascii="Tahoma" w:hAnsi="Tahoma" w:cs="Tahoma"/>
          <w:sz w:val="20"/>
        </w:rPr>
        <w:t xml:space="preserve"> </w:t>
      </w:r>
      <w:r w:rsidRPr="00092B14">
        <w:rPr>
          <w:rFonts w:ascii="Tahoma" w:hAnsi="Tahoma" w:cs="Tahoma"/>
          <w:sz w:val="20"/>
        </w:rPr>
        <w:t>em que deverão ser “acrescidas em 0,15 pontos percentuais para cada ano em que a taxa de juros utilizada nas avaliações atuariais dos últimos 5 (cinco) exercícios antecedentes a data focal da avaliação tiveram sido alcançados pelo RPPS, limitada a 0,6 pontos percentuais”.</w:t>
      </w:r>
    </w:p>
    <w:p w:rsidR="00A75E13" w:rsidRPr="00A75E13" w:rsidRDefault="00465C63" w:rsidP="00A75E13">
      <w:pPr>
        <w:rPr>
          <w:bCs/>
          <w:sz w:val="20"/>
        </w:rPr>
      </w:pPr>
      <w:r w:rsidRPr="00A75E13">
        <w:rPr>
          <w:rFonts w:ascii="Tahoma" w:hAnsi="Tahoma" w:cs="Tahoma"/>
          <w:bCs/>
          <w:sz w:val="20"/>
        </w:rPr>
        <w:t xml:space="preserve">Por conseguinte, o </w:t>
      </w:r>
      <w:r w:rsidR="008F04AC" w:rsidRPr="00A75E13">
        <w:rPr>
          <w:rFonts w:ascii="Tahoma" w:hAnsi="Tahoma" w:cs="Tahoma"/>
          <w:bCs/>
          <w:sz w:val="20"/>
        </w:rPr>
        <w:fldChar w:fldCharType="begin"/>
      </w:r>
      <w:r w:rsidR="00616F1F" w:rsidRPr="00A75E13">
        <w:rPr>
          <w:rFonts w:ascii="Tahoma" w:hAnsi="Tahoma" w:cs="Tahoma"/>
          <w:bCs/>
          <w:sz w:val="20"/>
        </w:rPr>
        <w:instrText xml:space="preserve"> MERGEFIELD NOME_DO_FUNDO </w:instrText>
      </w:r>
      <w:r w:rsidR="008F04AC" w:rsidRPr="00A75E13">
        <w:rPr>
          <w:rFonts w:ascii="Tahoma" w:hAnsi="Tahoma" w:cs="Tahoma"/>
          <w:bCs/>
          <w:sz w:val="20"/>
        </w:rPr>
        <w:fldChar w:fldCharType="separate"/>
      </w:r>
      <w:r w:rsidR="004A232E" w:rsidRPr="00BC514D">
        <w:rPr>
          <w:rFonts w:ascii="Tahoma" w:hAnsi="Tahoma" w:cs="Tahoma"/>
          <w:bCs/>
          <w:noProof/>
          <w:sz w:val="20"/>
        </w:rPr>
        <w:t>REGIME PRÓPRIO DE PREVIDÊNCIA DO SERVIDOR DE ENTRE-IJUÍS</w:t>
      </w:r>
      <w:r w:rsidR="008F04AC" w:rsidRPr="00A75E13">
        <w:rPr>
          <w:rFonts w:ascii="Tahoma" w:hAnsi="Tahoma" w:cs="Tahoma"/>
          <w:bCs/>
          <w:sz w:val="20"/>
        </w:rPr>
        <w:fldChar w:fldCharType="end"/>
      </w:r>
      <w:r w:rsidRPr="00A75E13">
        <w:rPr>
          <w:rFonts w:ascii="Tahoma" w:hAnsi="Tahoma" w:cs="Tahoma"/>
          <w:bCs/>
          <w:sz w:val="20"/>
        </w:rPr>
        <w:t xml:space="preserve"> precisa buscar, através da aplicação dos seus recursos, uma rentabilidade igual ou superior </w:t>
      </w:r>
      <w:r w:rsidR="00F918BC" w:rsidRPr="00A75E13">
        <w:rPr>
          <w:rFonts w:ascii="Tahoma" w:hAnsi="Tahoma" w:cs="Tahoma"/>
          <w:bCs/>
          <w:sz w:val="20"/>
        </w:rPr>
        <w:t>a</w:t>
      </w:r>
      <w:r w:rsidRPr="00A75E13">
        <w:rPr>
          <w:rFonts w:ascii="Tahoma" w:hAnsi="Tahoma" w:cs="Tahoma"/>
          <w:bCs/>
          <w:sz w:val="20"/>
        </w:rPr>
        <w:t xml:space="preserve"> sua meta atuarial. Com base no horizonte de longo prazo, e a situação financeira e atuarial observada atualmente, a META ATUARIAL, definida e aprovada juntamente com a </w:t>
      </w:r>
      <w:r w:rsidR="007A0B11" w:rsidRPr="00A75E13">
        <w:rPr>
          <w:rFonts w:ascii="Tahoma" w:hAnsi="Tahoma" w:cs="Tahoma"/>
          <w:bCs/>
          <w:sz w:val="20"/>
        </w:rPr>
        <w:t>Política de Investimentos</w:t>
      </w:r>
      <w:r w:rsidRPr="00A75E13">
        <w:rPr>
          <w:rFonts w:ascii="Tahoma" w:hAnsi="Tahoma" w:cs="Tahoma"/>
          <w:bCs/>
          <w:sz w:val="20"/>
        </w:rPr>
        <w:t xml:space="preserve">, será representada pelo benchmark </w:t>
      </w:r>
      <w:r w:rsidR="008F04AC" w:rsidRPr="00A75E13">
        <w:rPr>
          <w:rFonts w:ascii="Tahoma" w:hAnsi="Tahoma" w:cs="Tahoma"/>
          <w:bCs/>
          <w:sz w:val="20"/>
        </w:rPr>
        <w:fldChar w:fldCharType="begin"/>
      </w:r>
      <w:r w:rsidR="00616F1F" w:rsidRPr="00A75E13">
        <w:rPr>
          <w:rFonts w:ascii="Tahoma" w:hAnsi="Tahoma" w:cs="Tahoma"/>
          <w:bCs/>
          <w:sz w:val="20"/>
        </w:rPr>
        <w:instrText xml:space="preserve"> MERGEFIELD BENC </w:instrText>
      </w:r>
      <w:r w:rsidR="008F04AC" w:rsidRPr="00A75E13">
        <w:rPr>
          <w:rFonts w:ascii="Tahoma" w:hAnsi="Tahoma" w:cs="Tahoma"/>
          <w:bCs/>
          <w:sz w:val="20"/>
        </w:rPr>
        <w:fldChar w:fldCharType="separate"/>
      </w:r>
      <w:r w:rsidR="004A232E" w:rsidRPr="00BC514D">
        <w:rPr>
          <w:rFonts w:ascii="Tahoma" w:hAnsi="Tahoma" w:cs="Tahoma"/>
          <w:bCs/>
          <w:noProof/>
          <w:sz w:val="20"/>
        </w:rPr>
        <w:t>IPCA ACRESCIDO DE 5,17%</w:t>
      </w:r>
      <w:r w:rsidR="008F04AC" w:rsidRPr="00A75E13">
        <w:rPr>
          <w:rFonts w:ascii="Tahoma" w:hAnsi="Tahoma" w:cs="Tahoma"/>
          <w:bCs/>
          <w:sz w:val="20"/>
        </w:rPr>
        <w:fldChar w:fldCharType="end"/>
      </w:r>
      <w:r w:rsidRPr="00A75E13">
        <w:rPr>
          <w:rFonts w:ascii="Tahoma" w:hAnsi="Tahoma" w:cs="Tahoma"/>
          <w:bCs/>
          <w:sz w:val="20"/>
        </w:rPr>
        <w:t xml:space="preserve"> a.a. (</w:t>
      </w:r>
      <w:r w:rsidR="008F04AC" w:rsidRPr="00A75E13">
        <w:rPr>
          <w:rFonts w:ascii="Tahoma" w:hAnsi="Tahoma" w:cs="Tahoma"/>
          <w:bCs/>
          <w:sz w:val="20"/>
        </w:rPr>
        <w:fldChar w:fldCharType="begin"/>
      </w:r>
      <w:r w:rsidR="00616F1F" w:rsidRPr="00A75E13">
        <w:rPr>
          <w:rFonts w:ascii="Tahoma" w:hAnsi="Tahoma" w:cs="Tahoma"/>
          <w:bCs/>
          <w:sz w:val="20"/>
        </w:rPr>
        <w:instrText xml:space="preserve"> MERGEFIELD META </w:instrText>
      </w:r>
      <w:r w:rsidR="008F04AC" w:rsidRPr="00A75E13">
        <w:rPr>
          <w:rFonts w:ascii="Tahoma" w:hAnsi="Tahoma" w:cs="Tahoma"/>
          <w:bCs/>
          <w:sz w:val="20"/>
        </w:rPr>
        <w:fldChar w:fldCharType="separate"/>
      </w:r>
      <w:r w:rsidR="004A232E" w:rsidRPr="00BC514D">
        <w:rPr>
          <w:rFonts w:ascii="Tahoma" w:hAnsi="Tahoma" w:cs="Tahoma"/>
          <w:bCs/>
          <w:noProof/>
          <w:sz w:val="20"/>
        </w:rPr>
        <w:t>IPCA + 5,17%</w:t>
      </w:r>
      <w:r w:rsidR="008F04AC" w:rsidRPr="00A75E13">
        <w:rPr>
          <w:rFonts w:ascii="Tahoma" w:hAnsi="Tahoma" w:cs="Tahoma"/>
          <w:bCs/>
          <w:sz w:val="20"/>
        </w:rPr>
        <w:fldChar w:fldCharType="end"/>
      </w:r>
      <w:r w:rsidRPr="00A75E13">
        <w:rPr>
          <w:rFonts w:ascii="Tahoma" w:hAnsi="Tahoma" w:cs="Tahoma"/>
          <w:bCs/>
          <w:sz w:val="20"/>
        </w:rPr>
        <w:t xml:space="preserve"> a.a.). </w:t>
      </w:r>
      <w:r w:rsidR="00F918BC" w:rsidRPr="00A75E13">
        <w:rPr>
          <w:rFonts w:ascii="Tahoma" w:hAnsi="Tahoma" w:cs="Tahoma"/>
          <w:bCs/>
          <w:sz w:val="20"/>
        </w:rPr>
        <w:t xml:space="preserve">No mais, restou aplicada, nesta </w:t>
      </w:r>
      <w:r w:rsidR="007A0B11" w:rsidRPr="00A75E13">
        <w:rPr>
          <w:rFonts w:ascii="Tahoma" w:hAnsi="Tahoma" w:cs="Tahoma"/>
          <w:bCs/>
          <w:sz w:val="20"/>
        </w:rPr>
        <w:t>Política de Investimentos</w:t>
      </w:r>
      <w:r w:rsidR="00F918BC" w:rsidRPr="00A75E13">
        <w:rPr>
          <w:rFonts w:ascii="Tahoma" w:hAnsi="Tahoma" w:cs="Tahoma"/>
          <w:bCs/>
          <w:sz w:val="20"/>
        </w:rPr>
        <w:t>, a taxa de juros</w:t>
      </w:r>
      <w:r w:rsidR="0034319A" w:rsidRPr="00A75E13">
        <w:rPr>
          <w:rFonts w:ascii="Tahoma" w:hAnsi="Tahoma" w:cs="Tahoma"/>
          <w:bCs/>
          <w:sz w:val="20"/>
        </w:rPr>
        <w:t xml:space="preserve"> parâmetro</w:t>
      </w:r>
      <w:r w:rsidR="00F918BC" w:rsidRPr="00A75E13">
        <w:rPr>
          <w:rFonts w:ascii="Tahoma" w:hAnsi="Tahoma" w:cs="Tahoma"/>
          <w:bCs/>
          <w:sz w:val="20"/>
        </w:rPr>
        <w:t xml:space="preserve"> </w:t>
      </w:r>
      <w:r w:rsidR="0034319A" w:rsidRPr="00A75E13">
        <w:rPr>
          <w:rFonts w:ascii="Tahoma" w:hAnsi="Tahoma" w:cs="Tahoma"/>
          <w:bCs/>
          <w:sz w:val="20"/>
        </w:rPr>
        <w:t>orientada pel</w:t>
      </w:r>
      <w:r w:rsidR="00F918BC" w:rsidRPr="00A75E13">
        <w:rPr>
          <w:rFonts w:ascii="Tahoma" w:hAnsi="Tahoma" w:cs="Tahoma"/>
          <w:bCs/>
          <w:sz w:val="20"/>
        </w:rPr>
        <w:t xml:space="preserve">a Portaria </w:t>
      </w:r>
      <w:r w:rsidR="007A4CD5" w:rsidRPr="00A75E13">
        <w:rPr>
          <w:rFonts w:ascii="Tahoma" w:hAnsi="Tahoma" w:cs="Tahoma"/>
          <w:bCs/>
          <w:sz w:val="20"/>
        </w:rPr>
        <w:t>M</w:t>
      </w:r>
      <w:r w:rsidR="00092B14" w:rsidRPr="00A75E13">
        <w:rPr>
          <w:rFonts w:ascii="Tahoma" w:hAnsi="Tahoma" w:cs="Tahoma"/>
          <w:bCs/>
          <w:sz w:val="20"/>
        </w:rPr>
        <w:t>PS</w:t>
      </w:r>
      <w:r w:rsidR="00F918BC" w:rsidRPr="00A75E13">
        <w:rPr>
          <w:rFonts w:ascii="Tahoma" w:hAnsi="Tahoma" w:cs="Tahoma"/>
          <w:bCs/>
          <w:sz w:val="20"/>
        </w:rPr>
        <w:t xml:space="preserve"> nº </w:t>
      </w:r>
      <w:r w:rsidR="00BC3DE6" w:rsidRPr="00A75E13">
        <w:rPr>
          <w:rFonts w:ascii="Tahoma" w:hAnsi="Tahoma" w:cs="Tahoma"/>
          <w:bCs/>
          <w:sz w:val="20"/>
        </w:rPr>
        <w:t>1</w:t>
      </w:r>
      <w:r w:rsidR="0034319A" w:rsidRPr="00A75E13">
        <w:rPr>
          <w:rFonts w:ascii="Tahoma" w:hAnsi="Tahoma" w:cs="Tahoma"/>
          <w:bCs/>
          <w:sz w:val="20"/>
        </w:rPr>
        <w:t>.</w:t>
      </w:r>
      <w:r w:rsidR="00BC3DE6" w:rsidRPr="00A75E13">
        <w:rPr>
          <w:rFonts w:ascii="Tahoma" w:hAnsi="Tahoma" w:cs="Tahoma"/>
          <w:bCs/>
          <w:sz w:val="20"/>
        </w:rPr>
        <w:t>499/2024.</w:t>
      </w:r>
    </w:p>
    <w:p w:rsidR="00465C63" w:rsidRPr="00D31186" w:rsidRDefault="00465C63" w:rsidP="00A75E13">
      <w:pPr>
        <w:pStyle w:val="Ttulo1"/>
        <w:rPr>
          <w:sz w:val="20"/>
        </w:rPr>
      </w:pPr>
      <w:r w:rsidRPr="00E8601E">
        <w:rPr>
          <w:sz w:val="20"/>
        </w:rPr>
        <w:br w:type="page"/>
      </w:r>
      <w:bookmarkStart w:id="7" w:name="_Toc181778157"/>
      <w:r w:rsidR="00AD12FB" w:rsidRPr="00A75E13">
        <w:rPr>
          <w:b w:val="0"/>
          <w:bCs/>
        </w:rPr>
        <w:object w:dxaOrig="2425" w:dyaOrig="2598">
          <v:shape id="_x0000_i1057" type="#_x0000_t75" style="width:9.4pt;height:8.15pt" o:ole="">
            <v:imagedata r:id="rId8" o:title=""/>
          </v:shape>
          <o:OLEObject Type="Embed" ProgID="CorelDRAW.Graphic.13" ShapeID="_x0000_i1057" DrawAspect="Content" ObjectID="_1792498593" r:id="rId42"/>
        </w:object>
      </w:r>
      <w:r w:rsidRPr="00A75E13">
        <w:rPr>
          <w:rStyle w:val="Ttulo1Char"/>
          <w:b/>
          <w:bCs/>
          <w:sz w:val="22"/>
        </w:rPr>
        <w:t>MODELO DE GESTÃO E SERVIÇOS ESPECIALIZADOS</w:t>
      </w:r>
      <w:r w:rsidRPr="00D31186">
        <w:t xml:space="preserve"> </w:t>
      </w:r>
      <w:bookmarkEnd w:id="7"/>
      <w:r w:rsidRPr="00D31186">
        <w:rPr>
          <w:sz w:val="20"/>
        </w:rPr>
        <w:object w:dxaOrig="3163" w:dyaOrig="3187">
          <v:shape id="_x0000_i1058" type="#_x0000_t75" style="width:21.9pt;height:23.15pt" o:ole="">
            <v:imagedata r:id="rId10" o:title=""/>
          </v:shape>
          <o:OLEObject Type="Embed" ProgID="CorelDRAW.Graphic.13" ShapeID="_x0000_i1058" DrawAspect="Content" ObjectID="_1792498594" r:id="rId43"/>
        </w:object>
      </w:r>
    </w:p>
    <w:p w:rsidR="00465C63" w:rsidRPr="00D31186" w:rsidRDefault="00465C63" w:rsidP="00AD12FB">
      <w:pPr>
        <w:spacing w:after="120"/>
        <w:ind w:firstLine="709"/>
        <w:jc w:val="both"/>
        <w:rPr>
          <w:rFonts w:ascii="Tahoma" w:hAnsi="Tahoma" w:cs="Tahoma"/>
          <w:sz w:val="20"/>
        </w:rPr>
      </w:pPr>
    </w:p>
    <w:p w:rsidR="00465C63" w:rsidRPr="00D31186" w:rsidRDefault="00465C63" w:rsidP="00EC5FD6">
      <w:pPr>
        <w:pStyle w:val="Subttulo"/>
        <w:rPr>
          <w:sz w:val="20"/>
        </w:rPr>
      </w:pPr>
      <w:bookmarkStart w:id="8" w:name="_Toc181778158"/>
      <w:r w:rsidRPr="00D31186">
        <w:rPr>
          <w:sz w:val="20"/>
        </w:rPr>
        <w:t>Do Modelo de Gestão</w:t>
      </w:r>
      <w:bookmarkEnd w:id="8"/>
    </w:p>
    <w:p w:rsidR="00465C63" w:rsidRPr="00D31186" w:rsidRDefault="008F04AC" w:rsidP="00AD12FB">
      <w:pPr>
        <w:spacing w:after="120"/>
        <w:ind w:firstLine="709"/>
        <w:jc w:val="both"/>
        <w:rPr>
          <w:rFonts w:ascii="Tahoma" w:hAnsi="Tahoma" w:cs="Tahoma"/>
          <w:sz w:val="20"/>
        </w:rPr>
      </w:pPr>
      <w:r>
        <w:rPr>
          <w:rFonts w:ascii="Tahoma" w:hAnsi="Tahoma" w:cs="Tahoma"/>
          <w:noProof/>
          <w:sz w:val="20"/>
        </w:rPr>
        <w:pict>
          <v:shape id="Text Box 2" o:spid="_x0000_s2079" type="#_x0000_t202" style="position:absolute;left:0;text-align:left;margin-left:0;margin-top:46.35pt;width:205.1pt;height:110.7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" filled="f" stroked="f" strokecolor="#1f497d [3215]" strokeweight="1.25pt">
            <v:stroke dashstyle="dash"/>
            <v:textbox>
              <w:txbxContent>
                <w:p w:rsidR="007A0B11" w:rsidRPr="00C35223" w:rsidRDefault="007A0B11" w:rsidP="00C35223">
                  <w:pPr>
                    <w:rPr>
                      <w:szCs w:val="20"/>
                    </w:rPr>
                  </w:pPr>
                </w:p>
              </w:txbxContent>
            </v:textbox>
            <w10:wrap type="square" anchorx="page"/>
          </v:shape>
        </w:pict>
      </w:r>
      <w:r w:rsidR="00465C63" w:rsidRPr="00D31186">
        <w:rPr>
          <w:rFonts w:ascii="Tahoma" w:hAnsi="Tahoma" w:cs="Tahoma"/>
          <w:sz w:val="20"/>
        </w:rPr>
        <w:t xml:space="preserve">O modelo de gestão dos recursos do regime próprio do </w:t>
      </w:r>
      <w:r w:rsidRPr="00D31186">
        <w:rPr>
          <w:rFonts w:ascii="Tahoma" w:hAnsi="Tahoma" w:cs="Tahoma"/>
          <w:b/>
          <w:noProof/>
          <w:sz w:val="20"/>
        </w:rPr>
        <w:fldChar w:fldCharType="begin"/>
      </w:r>
      <w:r w:rsidR="00616F1F" w:rsidRPr="00D31186">
        <w:rPr>
          <w:rFonts w:ascii="Tahoma" w:hAnsi="Tahoma" w:cs="Tahoma"/>
          <w:b/>
          <w:noProof/>
          <w:sz w:val="20"/>
        </w:rPr>
        <w:instrText xml:space="preserve"> MERGEFIELD RPPS </w:instrText>
      </w:r>
      <w:r w:rsidRPr="00D31186">
        <w:rPr>
          <w:rFonts w:ascii="Tahoma" w:hAnsi="Tahoma" w:cs="Tahoma"/>
          <w:b/>
          <w:noProof/>
          <w:sz w:val="20"/>
        </w:rPr>
        <w:fldChar w:fldCharType="separate"/>
      </w:r>
      <w:r w:rsidR="004A232E" w:rsidRPr="00BC514D">
        <w:rPr>
          <w:rFonts w:ascii="Tahoma" w:hAnsi="Tahoma" w:cs="Tahoma"/>
          <w:b/>
          <w:noProof/>
          <w:sz w:val="20"/>
        </w:rPr>
        <w:t>MUNICÍPIO DE ENTRE-IJUÍS</w:t>
      </w:r>
      <w:r w:rsidRPr="00D31186">
        <w:rPr>
          <w:rFonts w:ascii="Tahoma" w:hAnsi="Tahoma" w:cs="Tahoma"/>
          <w:b/>
          <w:noProof/>
          <w:sz w:val="20"/>
        </w:rPr>
        <w:fldChar w:fldCharType="end"/>
      </w:r>
      <w:r w:rsidR="00465C63" w:rsidRPr="00D31186">
        <w:rPr>
          <w:rFonts w:ascii="Tahoma" w:hAnsi="Tahoma" w:cs="Tahoma"/>
          <w:b/>
          <w:sz w:val="20"/>
        </w:rPr>
        <w:t xml:space="preserve"> </w:t>
      </w:r>
      <w:r w:rsidR="00465C63" w:rsidRPr="00D31186">
        <w:rPr>
          <w:rFonts w:ascii="Tahoma" w:hAnsi="Tahoma" w:cs="Tahoma"/>
          <w:sz w:val="20"/>
        </w:rPr>
        <w:t xml:space="preserve">é uma opção estratégica dos seus gestores. Segundo o art. </w:t>
      </w:r>
      <w:r w:rsidR="00D57CDD" w:rsidRPr="00D31186">
        <w:rPr>
          <w:rFonts w:ascii="Tahoma" w:hAnsi="Tahoma" w:cs="Tahoma"/>
          <w:sz w:val="20"/>
        </w:rPr>
        <w:t>21</w:t>
      </w:r>
      <w:r w:rsidR="004B423B" w:rsidRPr="00D31186">
        <w:rPr>
          <w:rFonts w:ascii="Tahoma" w:hAnsi="Tahoma" w:cs="Tahoma"/>
          <w:sz w:val="20"/>
        </w:rPr>
        <w:t>,</w:t>
      </w:r>
      <w:r w:rsidR="00465C63" w:rsidRPr="00D31186">
        <w:rPr>
          <w:rFonts w:ascii="Tahoma" w:hAnsi="Tahoma" w:cs="Tahoma"/>
          <w:sz w:val="20"/>
        </w:rPr>
        <w:t xml:space="preserve"> da Resolução CMN </w:t>
      </w:r>
      <w:r w:rsidR="00D57CDD" w:rsidRPr="00D31186">
        <w:rPr>
          <w:rFonts w:ascii="Tahoma" w:hAnsi="Tahoma" w:cs="Tahoma"/>
          <w:sz w:val="20"/>
        </w:rPr>
        <w:t>4.963/2021</w:t>
      </w:r>
      <w:r w:rsidR="004B423B" w:rsidRPr="00D31186">
        <w:rPr>
          <w:rFonts w:ascii="Tahoma" w:hAnsi="Tahoma" w:cs="Tahoma"/>
          <w:sz w:val="20"/>
        </w:rPr>
        <w:t>,</w:t>
      </w:r>
      <w:r w:rsidR="00465C63" w:rsidRPr="00D31186">
        <w:rPr>
          <w:rFonts w:ascii="Tahoma" w:hAnsi="Tahoma" w:cs="Tahoma"/>
          <w:sz w:val="20"/>
        </w:rPr>
        <w:t xml:space="preserve"> a gestão das aplicações dos recursos dos regimes próprios de previdência social poderá ser própria, por entidade autorizada e credenciada, ou mista. </w:t>
      </w:r>
    </w:p>
    <w:p w:rsidR="00465C63" w:rsidRPr="00D31186" w:rsidRDefault="008F04AC" w:rsidP="00AD12FB">
      <w:pPr>
        <w:spacing w:after="120"/>
        <w:ind w:firstLine="709"/>
        <w:jc w:val="both"/>
        <w:rPr>
          <w:rFonts w:ascii="Tahoma" w:hAnsi="Tahoma" w:cs="Tahoma"/>
          <w:sz w:val="20"/>
        </w:rPr>
      </w:pPr>
      <w:r>
        <w:rPr>
          <w:rFonts w:ascii="Tahoma" w:hAnsi="Tahoma" w:cs="Tahoma"/>
          <w:noProof/>
          <w:sz w:val="20"/>
        </w:rPr>
        <w:pict>
          <v:shapetype id="_x0000_t32" coordsize="21600,21600" o:spt="32" o:oned="t" path="m,l21600,21600e" filled="f">
            <v:path arrowok="t" fillok="f" o:connecttype="none"/>
            <o:lock v:ext="edit" shapetype="t"/>
          </v:shapetype>
          <v:shape id="AutoShape 8" o:spid="_x0000_s2078" type="#_x0000_t32" style="position:absolute;left:0;text-align:left;margin-left:57.6pt;margin-top:31.05pt;width:0;height:136.35pt;rotation:90;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" strokecolor="#1f497d [3215]" strokeweight=".25pt">
            <v:stroke dashstyle="dash" endarrow="block"/>
          </v:shape>
        </w:pict>
      </w:r>
      <w:r>
        <w:rPr>
          <w:rFonts w:ascii="Tahoma" w:hAnsi="Tahoma" w:cs="Tahoma"/>
          <w:noProof/>
          <w:sz w:val="20"/>
        </w:rPr>
        <w:pict>
          <v:shape id="AutoShape 7" o:spid="_x0000_s2077" type="#_x0000_t32" style="position:absolute;left:0;text-align:left;margin-left:-159.25pt;margin-top:3.05pt;width:291.75pt;height:.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" strokecolor="#1f497d [3215]" strokeweight=".25pt">
            <v:stroke dashstyle="dash" endarrow="block"/>
          </v:shape>
        </w:pict>
      </w:r>
      <w:r>
        <w:rPr>
          <w:rFonts w:ascii="Tahoma" w:hAnsi="Tahoma" w:cs="Tahoma"/>
          <w:noProof/>
          <w:sz w:val="20"/>
        </w:rPr>
        <w:pict>
          <v:shape id="Conector de Seta Reta 1" o:spid="_x0000_s2076" type="#_x0000_t32" style="position:absolute;left:0;text-align:left;margin-left:139.6pt;margin-top:14.3pt;width:1pt;height:86pt;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" strokecolor="#002060">
            <v:stroke dashstyle="1 1" endarrow="block"/>
          </v:shape>
        </w:pict>
      </w:r>
      <w:r>
        <w:rPr>
          <w:rFonts w:ascii="Tahoma" w:hAnsi="Tahoma" w:cs="Tahoma"/>
          <w:noProof/>
          <w:sz w:val="20"/>
        </w:rPr>
        <w:pict>
          <v:shape id="Text Box 5" o:spid="_x0000_s2075" type="#_x0000_t202" style="position:absolute;left:0;text-align:left;margin-left:-53pt;margin-top:4.65pt;width:190.5pt;height:9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" filled="f" stroked="f">
            <v:textbox>
              <w:txbxContent>
                <w:p w:rsidR="007A0B11" w:rsidRPr="00DB2570" w:rsidRDefault="007A0B11" w:rsidP="00DB2570">
                  <w:pPr>
                    <w:jc w:val="both"/>
                    <w:rPr>
                      <w:rFonts w:ascii="Bradley Hand ITC" w:hAnsi="Bradley Hand ITC"/>
                      <w:bCs/>
                      <w:color w:val="002060"/>
                      <w:sz w:val="24"/>
                      <w:szCs w:val="24"/>
                    </w:rPr>
                  </w:pPr>
                  <w:r w:rsidRPr="00094E55">
                    <w:rPr>
                      <w:rFonts w:ascii="Bradley Hand ITC" w:hAnsi="Bradley Hand ITC"/>
                      <w:b/>
                      <w:color w:val="002060"/>
                      <w:sz w:val="24"/>
                      <w:szCs w:val="24"/>
                    </w:rPr>
                    <w:t xml:space="preserve">ELABORAR </w:t>
                  </w:r>
                  <w:r w:rsidRPr="00DB2570">
                    <w:rPr>
                      <w:rFonts w:ascii="Bradley Hand ITC" w:hAnsi="Bradley Hand ITC"/>
                      <w:bCs/>
                      <w:color w:val="002060"/>
                      <w:sz w:val="24"/>
                      <w:szCs w:val="24"/>
                    </w:rPr>
                    <w:t xml:space="preserve">RELATÓRIOS DETALHADOS, no mínimo, TRIMESTRALMENTE, sobre os </w:t>
                  </w:r>
                  <w:r w:rsidRPr="00D31186">
                    <w:rPr>
                      <w:rFonts w:ascii="Bradley Hand ITC" w:hAnsi="Bradley Hand ITC"/>
                      <w:bCs/>
                      <w:color w:val="002060"/>
                      <w:sz w:val="24"/>
                      <w:szCs w:val="24"/>
                    </w:rPr>
                    <w:t>riscos, conforme  art. 136º da Portaria M</w:t>
                  </w:r>
                  <w:r w:rsidR="00D31186" w:rsidRPr="00D31186">
                    <w:rPr>
                      <w:rFonts w:ascii="Bradley Hand ITC" w:hAnsi="Bradley Hand ITC"/>
                      <w:bCs/>
                      <w:color w:val="002060"/>
                      <w:sz w:val="24"/>
                      <w:szCs w:val="24"/>
                    </w:rPr>
                    <w:t>TP</w:t>
                  </w:r>
                  <w:r w:rsidRPr="00D31186">
                    <w:rPr>
                      <w:rFonts w:ascii="Bradley Hand ITC" w:hAnsi="Bradley Hand ITC"/>
                      <w:bCs/>
                      <w:color w:val="002060"/>
                      <w:sz w:val="24"/>
                      <w:szCs w:val="24"/>
                    </w:rPr>
                    <w:t xml:space="preserve"> nº</w:t>
                  </w:r>
                  <w:r w:rsidRPr="00DB2570">
                    <w:rPr>
                      <w:rFonts w:ascii="Bradley Hand ITC" w:hAnsi="Bradley Hand ITC"/>
                      <w:bCs/>
                      <w:color w:val="002060"/>
                      <w:sz w:val="24"/>
                      <w:szCs w:val="24"/>
                    </w:rPr>
                    <w:t xml:space="preserve"> 1.467/2022...</w:t>
                  </w:r>
                </w:p>
              </w:txbxContent>
            </v:textbox>
            <w10:wrap type="square"/>
          </v:shape>
        </w:pict>
      </w:r>
      <w:r w:rsidR="00465C63" w:rsidRPr="00D31186">
        <w:rPr>
          <w:rFonts w:ascii="Tahoma" w:hAnsi="Tahoma" w:cs="Tahoma"/>
          <w:sz w:val="20"/>
        </w:rPr>
        <w:t xml:space="preserve">O </w:t>
      </w:r>
      <w:r w:rsidRPr="00D31186">
        <w:rPr>
          <w:rFonts w:ascii="Tahoma" w:hAnsi="Tahoma" w:cs="Tahoma"/>
          <w:b/>
          <w:noProof/>
          <w:sz w:val="20"/>
        </w:rPr>
        <w:fldChar w:fldCharType="begin"/>
      </w:r>
      <w:r w:rsidR="00616F1F" w:rsidRPr="00D31186">
        <w:rPr>
          <w:rFonts w:ascii="Tahoma" w:hAnsi="Tahoma" w:cs="Tahoma"/>
          <w:b/>
          <w:noProof/>
          <w:sz w:val="20"/>
        </w:rPr>
        <w:instrText xml:space="preserve"> MERGEFIELD NOME_DO_FUNDO </w:instrText>
      </w:r>
      <w:r w:rsidRPr="00D31186">
        <w:rPr>
          <w:rFonts w:ascii="Tahoma" w:hAnsi="Tahoma" w:cs="Tahoma"/>
          <w:b/>
          <w:noProof/>
          <w:sz w:val="20"/>
        </w:rPr>
        <w:fldChar w:fldCharType="separate"/>
      </w:r>
      <w:r w:rsidR="004A232E" w:rsidRPr="00BC514D">
        <w:rPr>
          <w:rFonts w:ascii="Tahoma" w:hAnsi="Tahoma" w:cs="Tahoma"/>
          <w:b/>
          <w:noProof/>
          <w:sz w:val="20"/>
        </w:rPr>
        <w:t>REGIME PRÓPRIO DE PREVIDÊNCIA DO SERVIDOR DE ENTRE-IJUÍS</w:t>
      </w:r>
      <w:r w:rsidRPr="00D31186">
        <w:rPr>
          <w:rFonts w:ascii="Tahoma" w:hAnsi="Tahoma" w:cs="Tahoma"/>
          <w:b/>
          <w:noProof/>
          <w:sz w:val="20"/>
        </w:rPr>
        <w:fldChar w:fldCharType="end"/>
      </w:r>
      <w:r w:rsidR="00465C63" w:rsidRPr="00D31186">
        <w:rPr>
          <w:rFonts w:ascii="Tahoma" w:hAnsi="Tahoma" w:cs="Tahoma"/>
          <w:sz w:val="20"/>
        </w:rPr>
        <w:t xml:space="preserve"> compreendeu o modelo de GESTÃO PRÓPRIA, ou seja, quando as aplicações são realizadas diretamente pelo órgão ou entidade gestora do </w:t>
      </w:r>
      <w:r w:rsidR="00F53C5D" w:rsidRPr="00D31186">
        <w:rPr>
          <w:rFonts w:ascii="Tahoma" w:hAnsi="Tahoma" w:cs="Tahoma"/>
          <w:sz w:val="20"/>
        </w:rPr>
        <w:t>Regime Próprio de Previdência Social</w:t>
      </w:r>
      <w:r w:rsidR="00465C63" w:rsidRPr="00D31186">
        <w:rPr>
          <w:rFonts w:ascii="Tahoma" w:hAnsi="Tahoma" w:cs="Tahoma"/>
          <w:sz w:val="20"/>
        </w:rPr>
        <w:t xml:space="preserve">. </w:t>
      </w:r>
    </w:p>
    <w:p w:rsidR="00465C63" w:rsidRPr="00D31186" w:rsidRDefault="008F04AC" w:rsidP="00AD12FB">
      <w:pPr>
        <w:spacing w:after="120"/>
        <w:ind w:firstLine="709"/>
        <w:jc w:val="both"/>
        <w:rPr>
          <w:rFonts w:ascii="Tahoma" w:hAnsi="Tahoma" w:cs="Tahoma"/>
          <w:sz w:val="20"/>
        </w:rPr>
      </w:pPr>
      <w:r>
        <w:rPr>
          <w:rFonts w:ascii="Tahoma" w:hAnsi="Tahoma" w:cs="Tahoma"/>
          <w:noProof/>
          <w:sz w:val="20"/>
        </w:rPr>
        <w:pict>
          <v:shape id="_x0000_s2074" type="#_x0000_t32" style="position:absolute;left:0;text-align:left;margin-left:385.3pt;margin-top:22.3pt;width:0;height:136.35pt;rotation:90;z-index:2516746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" strokecolor="#1f497d [3215]" strokeweight=".25pt">
            <v:stroke dashstyle="dash" endarrow="block"/>
          </v:shape>
        </w:pict>
      </w:r>
      <w:r>
        <w:rPr>
          <w:rFonts w:ascii="Tahoma" w:hAnsi="Tahoma" w:cs="Tahoma"/>
          <w:noProof/>
          <w:sz w:val="20"/>
        </w:rPr>
        <w:pict>
          <v:shape id="Conector de Seta Reta 3" o:spid="_x0000_s2073" type="#_x0000_t32" style="position:absolute;left:0;text-align:left;margin-left:260.55pt;margin-top:87.05pt;width:1pt;height:86pt;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" strokecolor="#002060">
            <v:stroke dashstyle="1 1" endarrow="block"/>
          </v:shape>
        </w:pict>
      </w:r>
      <w:r w:rsidR="00465C63" w:rsidRPr="00D31186">
        <w:rPr>
          <w:rFonts w:ascii="Tahoma" w:hAnsi="Tahoma" w:cs="Tahoma"/>
          <w:sz w:val="20"/>
        </w:rPr>
        <w:t>No processo de gestão, destaca</w:t>
      </w:r>
      <w:r w:rsidR="0095399B">
        <w:rPr>
          <w:rFonts w:ascii="Tahoma" w:hAnsi="Tahoma" w:cs="Tahoma"/>
          <w:sz w:val="20"/>
        </w:rPr>
        <w:t>m</w:t>
      </w:r>
      <w:r w:rsidR="00465C63" w:rsidRPr="00D31186">
        <w:rPr>
          <w:rFonts w:ascii="Tahoma" w:hAnsi="Tahoma" w:cs="Tahoma"/>
          <w:sz w:val="20"/>
        </w:rPr>
        <w:t xml:space="preserve">-se alguns cuidados importantes. Na aplicação dos recursos o </w:t>
      </w:r>
      <w:r w:rsidRPr="00D31186">
        <w:rPr>
          <w:rFonts w:ascii="Tahoma" w:hAnsi="Tahoma" w:cs="Tahoma"/>
          <w:b/>
          <w:noProof/>
          <w:sz w:val="20"/>
        </w:rPr>
        <w:fldChar w:fldCharType="begin"/>
      </w:r>
      <w:r w:rsidR="00616F1F" w:rsidRPr="00D31186">
        <w:rPr>
          <w:rFonts w:ascii="Tahoma" w:hAnsi="Tahoma" w:cs="Tahoma"/>
          <w:b/>
          <w:noProof/>
          <w:sz w:val="20"/>
        </w:rPr>
        <w:instrText xml:space="preserve"> MERGEFIELD RPPS </w:instrText>
      </w:r>
      <w:r w:rsidRPr="00D31186">
        <w:rPr>
          <w:rFonts w:ascii="Tahoma" w:hAnsi="Tahoma" w:cs="Tahoma"/>
          <w:b/>
          <w:noProof/>
          <w:sz w:val="20"/>
        </w:rPr>
        <w:fldChar w:fldCharType="separate"/>
      </w:r>
      <w:r w:rsidR="004A232E" w:rsidRPr="00BC514D">
        <w:rPr>
          <w:rFonts w:ascii="Tahoma" w:hAnsi="Tahoma" w:cs="Tahoma"/>
          <w:b/>
          <w:noProof/>
          <w:sz w:val="20"/>
        </w:rPr>
        <w:t>MUNICÍPIO DE ENTRE-IJUÍS</w:t>
      </w:r>
      <w:r w:rsidRPr="00D31186">
        <w:rPr>
          <w:rFonts w:ascii="Tahoma" w:hAnsi="Tahoma" w:cs="Tahoma"/>
          <w:b/>
          <w:noProof/>
          <w:sz w:val="20"/>
        </w:rPr>
        <w:fldChar w:fldCharType="end"/>
      </w:r>
      <w:r w:rsidR="00465C63" w:rsidRPr="00D31186">
        <w:rPr>
          <w:rFonts w:ascii="Tahoma" w:hAnsi="Tahoma" w:cs="Tahoma"/>
          <w:sz w:val="20"/>
        </w:rPr>
        <w:t xml:space="preserve"> somente fará aplicações em instituições que demostrem ter segurança </w:t>
      </w:r>
      <w:r w:rsidR="0095399B">
        <w:rPr>
          <w:rFonts w:ascii="Tahoma" w:hAnsi="Tahoma" w:cs="Tahoma"/>
          <w:sz w:val="20"/>
        </w:rPr>
        <w:t xml:space="preserve">e </w:t>
      </w:r>
      <w:r w:rsidR="00465C63" w:rsidRPr="00D31186">
        <w:rPr>
          <w:rFonts w:ascii="Tahoma" w:hAnsi="Tahoma" w:cs="Tahoma"/>
          <w:sz w:val="20"/>
        </w:rPr>
        <w:t>atendam a lista exaustiva d</w:t>
      </w:r>
      <w:r w:rsidR="00F53C5D" w:rsidRPr="00D31186">
        <w:rPr>
          <w:rFonts w:ascii="Tahoma" w:hAnsi="Tahoma" w:cs="Tahoma"/>
          <w:sz w:val="20"/>
        </w:rPr>
        <w:t>o</w:t>
      </w:r>
      <w:r w:rsidR="00465C63" w:rsidRPr="00D31186">
        <w:rPr>
          <w:rFonts w:ascii="Tahoma" w:hAnsi="Tahoma" w:cs="Tahoma"/>
          <w:sz w:val="20"/>
        </w:rPr>
        <w:t xml:space="preserve"> </w:t>
      </w:r>
      <w:r w:rsidR="00F53C5D" w:rsidRPr="00D31186">
        <w:t>Ministério da Previdência Social (</w:t>
      </w:r>
      <w:r w:rsidR="003F0648" w:rsidRPr="00D31186">
        <w:rPr>
          <w:rFonts w:ascii="Tahoma" w:hAnsi="Tahoma" w:cs="Tahoma"/>
          <w:sz w:val="20"/>
        </w:rPr>
        <w:t>MPS</w:t>
      </w:r>
      <w:r w:rsidR="00F53C5D" w:rsidRPr="00D31186">
        <w:rPr>
          <w:rFonts w:ascii="Tahoma" w:hAnsi="Tahoma" w:cs="Tahoma"/>
          <w:sz w:val="20"/>
        </w:rPr>
        <w:t>)</w:t>
      </w:r>
      <w:r w:rsidR="00465C63" w:rsidRPr="00D31186">
        <w:rPr>
          <w:rFonts w:ascii="Tahoma" w:hAnsi="Tahoma" w:cs="Tahoma"/>
          <w:sz w:val="20"/>
        </w:rPr>
        <w:t xml:space="preserve"> e em produtos que busquem a rentabilidade necessária, visando</w:t>
      </w:r>
      <w:r w:rsidR="0095399B">
        <w:rPr>
          <w:rFonts w:ascii="Tahoma" w:hAnsi="Tahoma" w:cs="Tahoma"/>
          <w:sz w:val="20"/>
        </w:rPr>
        <w:t>,</w:t>
      </w:r>
      <w:r w:rsidR="00465C63" w:rsidRPr="00D31186">
        <w:rPr>
          <w:rFonts w:ascii="Tahoma" w:hAnsi="Tahoma" w:cs="Tahoma"/>
          <w:sz w:val="20"/>
        </w:rPr>
        <w:t xml:space="preserve"> em primeiro lugar</w:t>
      </w:r>
      <w:r w:rsidR="0095399B">
        <w:rPr>
          <w:rFonts w:ascii="Tahoma" w:hAnsi="Tahoma" w:cs="Tahoma"/>
          <w:sz w:val="20"/>
        </w:rPr>
        <w:t>,</w:t>
      </w:r>
      <w:r w:rsidR="00465C63" w:rsidRPr="00D31186">
        <w:rPr>
          <w:rFonts w:ascii="Tahoma" w:hAnsi="Tahoma" w:cs="Tahoma"/>
          <w:sz w:val="20"/>
        </w:rPr>
        <w:t xml:space="preserve"> a proteção do patrimônio, transparência, liquidez e a rentabilidade.</w:t>
      </w:r>
    </w:p>
    <w:p w:rsidR="00465C63" w:rsidRPr="00D31186" w:rsidRDefault="008F04AC" w:rsidP="00AD12FB">
      <w:pPr>
        <w:spacing w:after="120"/>
        <w:ind w:firstLine="709"/>
        <w:jc w:val="both"/>
        <w:rPr>
          <w:rFonts w:ascii="Tahoma" w:hAnsi="Tahoma" w:cs="Tahoma"/>
          <w:sz w:val="20"/>
        </w:rPr>
      </w:pPr>
      <w:r>
        <w:rPr>
          <w:rFonts w:ascii="Tahoma" w:hAnsi="Tahoma" w:cs="Tahoma"/>
          <w:noProof/>
          <w:sz w:val="20"/>
        </w:rPr>
        <w:pict>
          <v:shape id="Conector de Seta Reta 12" o:spid="_x0000_s2072" type="#_x0000_t32" style="position:absolute;left:0;text-align:left;margin-left:266.25pt;margin-top:94.95pt;width:187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" strokecolor="#002060" strokeweight=".25pt">
            <v:stroke dashstyle="longDashDot" endarrow="block"/>
          </v:shape>
        </w:pict>
      </w:r>
      <w:r>
        <w:rPr>
          <w:rFonts w:ascii="Tahoma" w:hAnsi="Tahoma" w:cs="Tahoma"/>
          <w:noProof/>
          <w:sz w:val="20"/>
        </w:rPr>
        <w:pict>
          <v:shape id="Text Box 6" o:spid="_x0000_s2071" type="#_x0000_t202" style="position:absolute;left:0;text-align:left;margin-left:294.4pt;margin-top:4.05pt;width:192.8pt;height:90.7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" filled="f" stroked="f">
            <v:textbox>
              <w:txbxContent>
                <w:p w:rsidR="007A0B11" w:rsidRPr="00EC25E7" w:rsidRDefault="007A0B11" w:rsidP="00CC0E8C">
                  <w:pPr>
                    <w:spacing w:after="0" w:line="240" w:lineRule="auto"/>
                    <w:rPr>
                      <w:rFonts w:ascii="Tahoma" w:hAnsi="Tahoma" w:cs="Tahoma"/>
                      <w:b/>
                      <w:color w:val="BFBFBF" w:themeColor="background1" w:themeShade="BF"/>
                      <w:sz w:val="8"/>
                      <w:szCs w:val="8"/>
                    </w:rPr>
                  </w:pPr>
                </w:p>
                <w:p w:rsidR="007A0B11" w:rsidRPr="00DB2570" w:rsidRDefault="007A0B11" w:rsidP="00DB2570">
                  <w:pPr>
                    <w:spacing w:after="0"/>
                    <w:jc w:val="both"/>
                    <w:rPr>
                      <w:rFonts w:ascii="Bradley Hand ITC" w:hAnsi="Bradley Hand ITC"/>
                      <w:b/>
                      <w:color w:val="002060"/>
                      <w:sz w:val="24"/>
                      <w:szCs w:val="24"/>
                    </w:rPr>
                  </w:pPr>
                  <w:r w:rsidRPr="00DB2570">
                    <w:rPr>
                      <w:rFonts w:ascii="Bradley Hand ITC" w:hAnsi="Bradley Hand ITC"/>
                      <w:b/>
                      <w:color w:val="002060"/>
                      <w:sz w:val="24"/>
                      <w:szCs w:val="24"/>
                    </w:rPr>
                    <w:t xml:space="preserve">ELABORAR </w:t>
                  </w:r>
                </w:p>
                <w:p w:rsidR="007A0B11" w:rsidRPr="00EC25E7" w:rsidRDefault="007A0B11" w:rsidP="00891784">
                  <w:pPr>
                    <w:spacing w:after="0"/>
                    <w:jc w:val="both"/>
                    <w:rPr>
                      <w:rFonts w:ascii="Tahoma" w:hAnsi="Tahoma" w:cs="Tahoma"/>
                      <w:color w:val="BFBFBF" w:themeColor="background1" w:themeShade="BF"/>
                      <w:sz w:val="18"/>
                      <w:szCs w:val="18"/>
                    </w:rPr>
                  </w:pPr>
                  <w:r w:rsidRPr="00DB2570">
                    <w:rPr>
                      <w:rFonts w:ascii="Bradley Hand ITC" w:hAnsi="Bradley Hand ITC"/>
                      <w:bCs/>
                      <w:color w:val="002060"/>
                    </w:rPr>
                    <w:t>Relatórios semestrais de contro</w:t>
                  </w:r>
                  <w:r>
                    <w:rPr>
                      <w:rFonts w:ascii="Bradley Hand ITC" w:hAnsi="Bradley Hand ITC"/>
                      <w:bCs/>
                      <w:color w:val="002060"/>
                    </w:rPr>
                    <w:t>l</w:t>
                  </w:r>
                  <w:r w:rsidRPr="00DB2570">
                    <w:rPr>
                      <w:rFonts w:ascii="Bradley Hand ITC" w:hAnsi="Bradley Hand ITC"/>
                      <w:bCs/>
                      <w:color w:val="002060"/>
                    </w:rPr>
                    <w:t xml:space="preserve">e de gestão de recursos </w:t>
                  </w:r>
                  <w:r w:rsidRPr="00D31186">
                    <w:rPr>
                      <w:rFonts w:ascii="Bradley Hand ITC" w:hAnsi="Bradley Hand ITC"/>
                      <w:bCs/>
                      <w:color w:val="002060"/>
                    </w:rPr>
                    <w:t>versus PI, conforme art. 129º da Portaria M</w:t>
                  </w:r>
                  <w:r w:rsidR="00D31186" w:rsidRPr="00D31186">
                    <w:rPr>
                      <w:rFonts w:ascii="Bradley Hand ITC" w:hAnsi="Bradley Hand ITC"/>
                      <w:bCs/>
                      <w:color w:val="002060"/>
                    </w:rPr>
                    <w:t>TP</w:t>
                  </w:r>
                  <w:r w:rsidRPr="00D31186">
                    <w:rPr>
                      <w:rFonts w:ascii="Bradley Hand ITC" w:hAnsi="Bradley Hand ITC"/>
                      <w:bCs/>
                      <w:color w:val="002060"/>
                    </w:rPr>
                    <w:t xml:space="preserve"> nº 1.467/2022...</w:t>
                  </w:r>
                </w:p>
              </w:txbxContent>
            </v:textbox>
            <w10:wrap type="square" anchorx="margin"/>
          </v:shape>
        </w:pict>
      </w:r>
      <w:r w:rsidR="00465C63" w:rsidRPr="00D31186">
        <w:rPr>
          <w:rFonts w:ascii="Tahoma" w:hAnsi="Tahoma" w:cs="Tahoma"/>
          <w:sz w:val="20"/>
        </w:rPr>
        <w:t xml:space="preserve">O </w:t>
      </w:r>
      <w:r w:rsidRPr="00D31186">
        <w:rPr>
          <w:rFonts w:ascii="Tahoma" w:hAnsi="Tahoma" w:cs="Tahoma"/>
          <w:b/>
          <w:noProof/>
          <w:sz w:val="20"/>
        </w:rPr>
        <w:fldChar w:fldCharType="begin"/>
      </w:r>
      <w:r w:rsidR="00616F1F" w:rsidRPr="00D31186">
        <w:rPr>
          <w:rFonts w:ascii="Tahoma" w:hAnsi="Tahoma" w:cs="Tahoma"/>
          <w:b/>
          <w:noProof/>
          <w:sz w:val="20"/>
        </w:rPr>
        <w:instrText xml:space="preserve"> MERGEFIELD NOME_DO_FUNDO </w:instrText>
      </w:r>
      <w:r w:rsidRPr="00D31186">
        <w:rPr>
          <w:rFonts w:ascii="Tahoma" w:hAnsi="Tahoma" w:cs="Tahoma"/>
          <w:b/>
          <w:noProof/>
          <w:sz w:val="20"/>
        </w:rPr>
        <w:fldChar w:fldCharType="separate"/>
      </w:r>
      <w:r w:rsidR="004A232E" w:rsidRPr="00BC514D">
        <w:rPr>
          <w:rFonts w:ascii="Tahoma" w:hAnsi="Tahoma" w:cs="Tahoma"/>
          <w:b/>
          <w:noProof/>
          <w:sz w:val="20"/>
        </w:rPr>
        <w:t>REGIME PRÓPRIO DE PREVIDÊNCIA DO SERVIDOR DE ENTRE-IJUÍS</w:t>
      </w:r>
      <w:r w:rsidRPr="00D31186">
        <w:rPr>
          <w:rFonts w:ascii="Tahoma" w:hAnsi="Tahoma" w:cs="Tahoma"/>
          <w:b/>
          <w:noProof/>
          <w:sz w:val="20"/>
        </w:rPr>
        <w:fldChar w:fldCharType="end"/>
      </w:r>
      <w:r w:rsidR="00465C63" w:rsidRPr="00D31186">
        <w:rPr>
          <w:rFonts w:ascii="Tahoma" w:hAnsi="Tahoma" w:cs="Tahoma"/>
          <w:b/>
          <w:sz w:val="20"/>
        </w:rPr>
        <w:t xml:space="preserve"> </w:t>
      </w:r>
      <w:r w:rsidR="00465C63" w:rsidRPr="00D31186">
        <w:rPr>
          <w:rFonts w:ascii="Tahoma" w:hAnsi="Tahoma" w:cs="Tahoma"/>
          <w:sz w:val="20"/>
        </w:rPr>
        <w:t>deverá observar as obrigatoriedades da P</w:t>
      </w:r>
      <w:r w:rsidR="0034319A">
        <w:rPr>
          <w:rFonts w:ascii="Tahoma" w:hAnsi="Tahoma" w:cs="Tahoma"/>
          <w:sz w:val="20"/>
        </w:rPr>
        <w:t>ortaria</w:t>
      </w:r>
      <w:r w:rsidR="00465C63" w:rsidRPr="00D31186">
        <w:rPr>
          <w:rFonts w:ascii="Tahoma" w:hAnsi="Tahoma" w:cs="Tahoma"/>
          <w:sz w:val="20"/>
        </w:rPr>
        <w:t xml:space="preserve"> </w:t>
      </w:r>
      <w:r w:rsidR="00F53C5D" w:rsidRPr="00D31186">
        <w:rPr>
          <w:rFonts w:ascii="Tahoma" w:hAnsi="Tahoma" w:cs="Tahoma"/>
          <w:sz w:val="20"/>
        </w:rPr>
        <w:t>M</w:t>
      </w:r>
      <w:r w:rsidR="00D31186" w:rsidRPr="00D31186">
        <w:rPr>
          <w:rFonts w:ascii="Tahoma" w:hAnsi="Tahoma" w:cs="Tahoma"/>
          <w:sz w:val="20"/>
        </w:rPr>
        <w:t>TP</w:t>
      </w:r>
      <w:r w:rsidR="00F53C5D" w:rsidRPr="00D31186">
        <w:rPr>
          <w:rFonts w:ascii="Tahoma" w:hAnsi="Tahoma" w:cs="Tahoma"/>
          <w:sz w:val="20"/>
        </w:rPr>
        <w:t xml:space="preserve"> </w:t>
      </w:r>
      <w:r w:rsidR="00465C63" w:rsidRPr="00D31186">
        <w:rPr>
          <w:rFonts w:ascii="Tahoma" w:hAnsi="Tahoma" w:cs="Tahoma"/>
          <w:sz w:val="20"/>
        </w:rPr>
        <w:t xml:space="preserve">Nº </w:t>
      </w:r>
      <w:r w:rsidR="00DB2570" w:rsidRPr="00D31186">
        <w:rPr>
          <w:rFonts w:ascii="Tahoma" w:hAnsi="Tahoma" w:cs="Tahoma"/>
          <w:sz w:val="20"/>
        </w:rPr>
        <w:t>1.467</w:t>
      </w:r>
      <w:r w:rsidR="00F53C5D" w:rsidRPr="00D31186">
        <w:rPr>
          <w:rFonts w:ascii="Tahoma" w:hAnsi="Tahoma" w:cs="Tahoma"/>
          <w:sz w:val="20"/>
        </w:rPr>
        <w:t>/2022</w:t>
      </w:r>
      <w:r w:rsidR="00465C63" w:rsidRPr="00D31186">
        <w:rPr>
          <w:rFonts w:ascii="Tahoma" w:hAnsi="Tahoma" w:cs="Tahoma"/>
          <w:sz w:val="20"/>
        </w:rPr>
        <w:t xml:space="preserve"> na gestão dos recursos, destacando a OBRIGAÇÃO de realizar AVALIAÇÃO DO DESEMPENHO DAS APLICAÇÕES. Devendo também, ser observados os prazos </w:t>
      </w:r>
      <w:r w:rsidR="00465C63" w:rsidRPr="002B3FE6">
        <w:rPr>
          <w:rFonts w:ascii="Tahoma" w:hAnsi="Tahoma" w:cs="Tahoma"/>
          <w:sz w:val="20"/>
        </w:rPr>
        <w:t xml:space="preserve">estipulados </w:t>
      </w:r>
      <w:r w:rsidR="0095399B">
        <w:rPr>
          <w:rFonts w:ascii="Tahoma" w:hAnsi="Tahoma" w:cs="Tahoma"/>
          <w:sz w:val="20"/>
        </w:rPr>
        <w:t xml:space="preserve">pela norma, </w:t>
      </w:r>
      <w:r w:rsidR="00465C63" w:rsidRPr="002B3FE6">
        <w:rPr>
          <w:rFonts w:ascii="Tahoma" w:hAnsi="Tahoma" w:cs="Tahoma"/>
          <w:sz w:val="20"/>
        </w:rPr>
        <w:t xml:space="preserve">que dispõe sobre DAIR, DPIN, </w:t>
      </w:r>
      <w:r w:rsidR="00F53C5D" w:rsidRPr="002B3FE6">
        <w:rPr>
          <w:rFonts w:ascii="Tahoma" w:hAnsi="Tahoma" w:cs="Tahoma"/>
          <w:sz w:val="20"/>
        </w:rPr>
        <w:t>c</w:t>
      </w:r>
      <w:r w:rsidR="00465C63" w:rsidRPr="002B3FE6">
        <w:rPr>
          <w:rFonts w:ascii="Tahoma" w:hAnsi="Tahoma" w:cs="Tahoma"/>
          <w:sz w:val="20"/>
        </w:rPr>
        <w:t>redenciamento, DRAA e DIPR.</w:t>
      </w:r>
    </w:p>
    <w:p w:rsidR="00465C63" w:rsidRPr="00D31186" w:rsidRDefault="00465C63" w:rsidP="00EC5FD6">
      <w:pPr>
        <w:pStyle w:val="Subttulo"/>
        <w:rPr>
          <w:sz w:val="20"/>
        </w:rPr>
      </w:pPr>
      <w:bookmarkStart w:id="9" w:name="_Toc181778159"/>
      <w:r w:rsidRPr="00D31186">
        <w:rPr>
          <w:sz w:val="20"/>
        </w:rPr>
        <w:t>Dos Serviços Especializados</w:t>
      </w:r>
      <w:bookmarkEnd w:id="9"/>
    </w:p>
    <w:p w:rsidR="00465C63" w:rsidRPr="00E8601E" w:rsidRDefault="00465C63" w:rsidP="00AD12FB">
      <w:pPr>
        <w:spacing w:after="120"/>
        <w:ind w:firstLine="709"/>
        <w:jc w:val="both"/>
        <w:rPr>
          <w:rFonts w:ascii="Tahoma" w:hAnsi="Tahoma" w:cs="Tahoma"/>
          <w:sz w:val="20"/>
        </w:rPr>
      </w:pPr>
      <w:r w:rsidRPr="00D31186">
        <w:rPr>
          <w:rFonts w:ascii="Tahoma" w:hAnsi="Tahoma" w:cs="Tahoma"/>
          <w:sz w:val="20"/>
        </w:rPr>
        <w:t>A contratação dos serviços de consultoria de valores mobiliários deverá levar em consideração critérios pré-definidos. Sublinham-se aspectos como: experiência, especialização e idoneidade da empresa, bem como</w:t>
      </w:r>
      <w:r w:rsidR="0095399B">
        <w:rPr>
          <w:rFonts w:ascii="Tahoma" w:hAnsi="Tahoma" w:cs="Tahoma"/>
          <w:sz w:val="20"/>
        </w:rPr>
        <w:t>,</w:t>
      </w:r>
      <w:r w:rsidRPr="00D31186">
        <w:rPr>
          <w:rFonts w:ascii="Tahoma" w:hAnsi="Tahoma" w:cs="Tahoma"/>
          <w:sz w:val="20"/>
        </w:rPr>
        <w:t xml:space="preserve"> o custo e a qualidade da prestação de serviços e, ainda, de acordo com o art. </w:t>
      </w:r>
      <w:r w:rsidR="000A6F03" w:rsidRPr="00D31186">
        <w:rPr>
          <w:rFonts w:ascii="Tahoma" w:hAnsi="Tahoma" w:cs="Tahoma"/>
          <w:sz w:val="20"/>
        </w:rPr>
        <w:t>24</w:t>
      </w:r>
      <w:r w:rsidRPr="00D31186">
        <w:rPr>
          <w:rFonts w:ascii="Tahoma" w:hAnsi="Tahoma" w:cs="Tahoma"/>
          <w:sz w:val="20"/>
        </w:rPr>
        <w:t xml:space="preserve"> da Resolução</w:t>
      </w:r>
      <w:r w:rsidR="00F23B5E" w:rsidRPr="00D31186">
        <w:rPr>
          <w:rFonts w:ascii="Tahoma" w:hAnsi="Tahoma" w:cs="Tahoma"/>
          <w:sz w:val="20"/>
        </w:rPr>
        <w:t xml:space="preserve"> CMN nº</w:t>
      </w:r>
      <w:r w:rsidRPr="00D31186">
        <w:rPr>
          <w:rFonts w:ascii="Tahoma" w:hAnsi="Tahoma" w:cs="Tahoma"/>
          <w:sz w:val="20"/>
        </w:rPr>
        <w:t xml:space="preserve"> </w:t>
      </w:r>
      <w:r w:rsidR="000A6F03" w:rsidRPr="00D31186">
        <w:rPr>
          <w:rFonts w:ascii="Tahoma" w:hAnsi="Tahoma" w:cs="Tahoma"/>
          <w:sz w:val="20"/>
        </w:rPr>
        <w:t>4.963/2021</w:t>
      </w:r>
      <w:r w:rsidRPr="00D31186">
        <w:rPr>
          <w:rFonts w:ascii="Tahoma" w:hAnsi="Tahoma" w:cs="Tahoma"/>
          <w:sz w:val="20"/>
        </w:rPr>
        <w:t>, estar devidamente habilitada na C</w:t>
      </w:r>
      <w:r w:rsidR="00F23B5E" w:rsidRPr="00D31186">
        <w:rPr>
          <w:rFonts w:ascii="Tahoma" w:hAnsi="Tahoma" w:cs="Tahoma"/>
          <w:sz w:val="20"/>
        </w:rPr>
        <w:t>omissão de Valores Mobiliários (C</w:t>
      </w:r>
      <w:r w:rsidRPr="00D31186">
        <w:rPr>
          <w:rFonts w:ascii="Tahoma" w:hAnsi="Tahoma" w:cs="Tahoma"/>
          <w:sz w:val="20"/>
        </w:rPr>
        <w:t>VM</w:t>
      </w:r>
      <w:r w:rsidR="00F23B5E" w:rsidRPr="00D31186">
        <w:rPr>
          <w:rFonts w:ascii="Tahoma" w:hAnsi="Tahoma" w:cs="Tahoma"/>
          <w:sz w:val="20"/>
        </w:rPr>
        <w:t>)</w:t>
      </w:r>
      <w:r w:rsidRPr="00D31186">
        <w:rPr>
          <w:rFonts w:ascii="Tahoma" w:hAnsi="Tahoma" w:cs="Tahoma"/>
          <w:sz w:val="20"/>
        </w:rPr>
        <w:t xml:space="preserve"> como Consultora de Valores Mobiliários. É de fundamental importância que a empresa habilitada na CVM como Consultora de Valores Mobiliários não seja ao mesmo tempo também cadastrada na CVM como Prestadora de Serviços de Administração de Carteiras e n</w:t>
      </w:r>
      <w:r w:rsidR="00172E4E" w:rsidRPr="00D31186">
        <w:rPr>
          <w:rFonts w:ascii="Tahoma" w:hAnsi="Tahoma" w:cs="Tahoma"/>
          <w:sz w:val="20"/>
        </w:rPr>
        <w:t>ão possua ligação com empresa de</w:t>
      </w:r>
      <w:r w:rsidRPr="00D31186">
        <w:rPr>
          <w:rFonts w:ascii="Tahoma" w:hAnsi="Tahoma" w:cs="Tahoma"/>
          <w:sz w:val="20"/>
        </w:rPr>
        <w:t xml:space="preserve"> Agente Autônomo – Pessoa Jurídica.</w:t>
      </w:r>
    </w:p>
    <w:p w:rsidR="00465C63" w:rsidRPr="00E8601E" w:rsidRDefault="00465C63" w:rsidP="00A50E9C">
      <w:pPr>
        <w:spacing w:after="120"/>
        <w:jc w:val="both"/>
        <w:rPr>
          <w:rStyle w:val="Ttulo1Char"/>
          <w:sz w:val="22"/>
        </w:rPr>
      </w:pPr>
      <w:r w:rsidRPr="00E8601E">
        <w:rPr>
          <w:rStyle w:val="Ttulo1Char"/>
          <w:sz w:val="22"/>
        </w:rPr>
        <w:br w:type="page"/>
      </w:r>
    </w:p>
    <w:bookmarkStart w:id="10" w:name="_Toc181778160"/>
    <w:bookmarkStart w:id="11" w:name="_Hlk149471682"/>
    <w:p w:rsidR="00465C63" w:rsidRPr="00D31186" w:rsidRDefault="00AD12FB" w:rsidP="00EC5FD6">
      <w:pPr>
        <w:spacing w:after="120"/>
        <w:jc w:val="both"/>
        <w:outlineLvl w:val="0"/>
        <w:rPr>
          <w:sz w:val="20"/>
        </w:rPr>
      </w:pPr>
      <w:r w:rsidRPr="00D31186">
        <w:object w:dxaOrig="2425" w:dyaOrig="2598">
          <v:shape id="_x0000_i1059" type="#_x0000_t75" style="width:9.4pt;height:8.15pt" o:ole="">
            <v:imagedata r:id="rId8" o:title=""/>
          </v:shape>
          <o:OLEObject Type="Embed" ProgID="CorelDRAW.Graphic.13" ShapeID="_x0000_i1059" DrawAspect="Content" ObjectID="_1792498595" r:id="rId44"/>
        </w:object>
      </w:r>
      <w:r w:rsidR="00465C63" w:rsidRPr="00D31186">
        <w:rPr>
          <w:rStyle w:val="Ttulo1Char"/>
          <w:sz w:val="21"/>
          <w:szCs w:val="21"/>
        </w:rPr>
        <w:t>ASPECTOS LEGAIS DA RESOLUÇÃO CMN</w:t>
      </w:r>
      <w:r w:rsidR="00F23B5E" w:rsidRPr="00D31186">
        <w:rPr>
          <w:rStyle w:val="Ttulo1Char"/>
          <w:sz w:val="21"/>
          <w:szCs w:val="21"/>
        </w:rPr>
        <w:t xml:space="preserve"> Nº</w:t>
      </w:r>
      <w:r w:rsidR="00465C63" w:rsidRPr="00D31186">
        <w:rPr>
          <w:rStyle w:val="Ttulo1Char"/>
          <w:sz w:val="21"/>
          <w:szCs w:val="21"/>
        </w:rPr>
        <w:t xml:space="preserve"> </w:t>
      </w:r>
      <w:r w:rsidR="000A6F03" w:rsidRPr="00D31186">
        <w:rPr>
          <w:rStyle w:val="Ttulo1Char"/>
          <w:sz w:val="21"/>
          <w:szCs w:val="21"/>
        </w:rPr>
        <w:t>4.963/2021</w:t>
      </w:r>
      <w:r w:rsidR="00465C63" w:rsidRPr="00D31186">
        <w:rPr>
          <w:rFonts w:ascii="Tahoma" w:hAnsi="Tahoma" w:cs="Tahoma"/>
          <w:b/>
          <w:color w:val="002060"/>
          <w:szCs w:val="24"/>
        </w:rPr>
        <w:t xml:space="preserve"> </w:t>
      </w:r>
      <w:bookmarkEnd w:id="10"/>
      <w:r w:rsidR="00465C63" w:rsidRPr="00D31186">
        <w:rPr>
          <w:sz w:val="20"/>
        </w:rPr>
        <w:object w:dxaOrig="3163" w:dyaOrig="3187">
          <v:shape id="_x0000_i1060" type="#_x0000_t75" style="width:18.8pt;height:18.8pt" o:ole="">
            <v:imagedata r:id="rId10" o:title=""/>
          </v:shape>
          <o:OLEObject Type="Embed" ProgID="CorelDRAW.Graphic.13" ShapeID="_x0000_i1060" DrawAspect="Content" ObjectID="_1792498596" r:id="rId45"/>
        </w:object>
      </w:r>
    </w:p>
    <w:p w:rsidR="00465C63" w:rsidRPr="00D31186" w:rsidRDefault="00465C63" w:rsidP="00AD12FB">
      <w:pPr>
        <w:spacing w:after="120"/>
        <w:ind w:firstLine="709"/>
        <w:jc w:val="both"/>
        <w:rPr>
          <w:rFonts w:ascii="Tahoma" w:hAnsi="Tahoma" w:cs="Tahoma"/>
          <w:sz w:val="20"/>
        </w:rPr>
      </w:pPr>
    </w:p>
    <w:p w:rsidR="00465C63" w:rsidRPr="00D31186" w:rsidRDefault="00465C63" w:rsidP="00EC5FD6">
      <w:pPr>
        <w:spacing w:after="120"/>
        <w:jc w:val="both"/>
        <w:rPr>
          <w:rFonts w:ascii="Tahoma" w:hAnsi="Tahoma" w:cs="Tahoma"/>
          <w:sz w:val="20"/>
        </w:rPr>
      </w:pPr>
      <w:r w:rsidRPr="00D31186">
        <w:rPr>
          <w:rFonts w:ascii="Tahoma" w:hAnsi="Tahoma" w:cs="Tahoma"/>
          <w:sz w:val="20"/>
        </w:rPr>
        <w:t xml:space="preserve">Resolução CMN </w:t>
      </w:r>
      <w:r w:rsidR="00F23B5E" w:rsidRPr="00D31186">
        <w:rPr>
          <w:rFonts w:ascii="Tahoma" w:hAnsi="Tahoma" w:cs="Tahoma"/>
          <w:sz w:val="20"/>
        </w:rPr>
        <w:t xml:space="preserve">nº </w:t>
      </w:r>
      <w:r w:rsidR="000A6F03" w:rsidRPr="00D31186">
        <w:rPr>
          <w:rFonts w:ascii="Tahoma" w:hAnsi="Tahoma" w:cs="Tahoma"/>
          <w:sz w:val="20"/>
        </w:rPr>
        <w:t>4.963</w:t>
      </w:r>
      <w:r w:rsidRPr="00D31186">
        <w:rPr>
          <w:rFonts w:ascii="Tahoma" w:hAnsi="Tahoma" w:cs="Tahoma"/>
          <w:sz w:val="20"/>
        </w:rPr>
        <w:t>/20</w:t>
      </w:r>
      <w:r w:rsidR="000A6F03" w:rsidRPr="00D31186">
        <w:rPr>
          <w:rFonts w:ascii="Tahoma" w:hAnsi="Tahoma" w:cs="Tahoma"/>
          <w:sz w:val="20"/>
        </w:rPr>
        <w:t>21</w:t>
      </w:r>
    </w:p>
    <w:p w:rsidR="00465C63" w:rsidRPr="00D31186" w:rsidRDefault="00465C63" w:rsidP="00AD12FB">
      <w:pPr>
        <w:spacing w:after="120"/>
        <w:ind w:firstLine="709"/>
        <w:jc w:val="both"/>
        <w:rPr>
          <w:rFonts w:ascii="Tahoma" w:hAnsi="Tahoma" w:cs="Tahoma"/>
          <w:sz w:val="20"/>
        </w:rPr>
      </w:pPr>
    </w:p>
    <w:bookmarkEnd w:id="11"/>
    <w:p w:rsidR="00FA50ED" w:rsidRPr="00FA50ED" w:rsidRDefault="00FA50ED" w:rsidP="00AD12FB">
      <w:pPr>
        <w:spacing w:after="120"/>
        <w:ind w:firstLine="709"/>
        <w:jc w:val="both"/>
        <w:rPr>
          <w:rFonts w:ascii="Tahoma" w:hAnsi="Tahoma" w:cs="Tahoma"/>
          <w:sz w:val="20"/>
        </w:rPr>
      </w:pPr>
      <w:r w:rsidRPr="00D31186">
        <w:rPr>
          <w:rFonts w:ascii="Tahoma" w:hAnsi="Tahoma" w:cs="Tahoma"/>
          <w:sz w:val="20"/>
        </w:rPr>
        <w:t>Dispõe sobre as aplicações dos</w:t>
      </w:r>
      <w:r w:rsidRPr="00FA50ED">
        <w:rPr>
          <w:rFonts w:ascii="Tahoma" w:hAnsi="Tahoma" w:cs="Tahoma"/>
          <w:sz w:val="20"/>
        </w:rPr>
        <w:t xml:space="preserve"> recursos dos </w:t>
      </w:r>
      <w:r w:rsidR="00F23B5E">
        <w:rPr>
          <w:rFonts w:ascii="Tahoma" w:hAnsi="Tahoma" w:cs="Tahoma"/>
          <w:sz w:val="20"/>
        </w:rPr>
        <w:t>R</w:t>
      </w:r>
      <w:r w:rsidRPr="00FA50ED">
        <w:rPr>
          <w:rFonts w:ascii="Tahoma" w:hAnsi="Tahoma" w:cs="Tahoma"/>
          <w:sz w:val="20"/>
        </w:rPr>
        <w:t xml:space="preserve">egimes </w:t>
      </w:r>
      <w:r w:rsidR="00F23B5E">
        <w:rPr>
          <w:rFonts w:ascii="Tahoma" w:hAnsi="Tahoma" w:cs="Tahoma"/>
          <w:sz w:val="20"/>
        </w:rPr>
        <w:t>P</w:t>
      </w:r>
      <w:r w:rsidRPr="00FA50ED">
        <w:rPr>
          <w:rFonts w:ascii="Tahoma" w:hAnsi="Tahoma" w:cs="Tahoma"/>
          <w:sz w:val="20"/>
        </w:rPr>
        <w:t xml:space="preserve">róprios de </w:t>
      </w:r>
      <w:r w:rsidR="00F23B5E">
        <w:rPr>
          <w:rFonts w:ascii="Tahoma" w:hAnsi="Tahoma" w:cs="Tahoma"/>
          <w:sz w:val="20"/>
        </w:rPr>
        <w:t>P</w:t>
      </w:r>
      <w:r w:rsidRPr="00FA50ED">
        <w:rPr>
          <w:rFonts w:ascii="Tahoma" w:hAnsi="Tahoma" w:cs="Tahoma"/>
          <w:sz w:val="20"/>
        </w:rPr>
        <w:t xml:space="preserve">revidência </w:t>
      </w:r>
      <w:r w:rsidR="00F23B5E">
        <w:rPr>
          <w:rFonts w:ascii="Tahoma" w:hAnsi="Tahoma" w:cs="Tahoma"/>
          <w:sz w:val="20"/>
        </w:rPr>
        <w:t>S</w:t>
      </w:r>
      <w:r w:rsidRPr="00FA50ED">
        <w:rPr>
          <w:rFonts w:ascii="Tahoma" w:hAnsi="Tahoma" w:cs="Tahoma"/>
          <w:sz w:val="20"/>
        </w:rPr>
        <w:t>ocial instituídos pela União, pelos Estados, pelo Distrito Federal e pelos Municípios.</w:t>
      </w:r>
    </w:p>
    <w:p w:rsidR="00FA50ED" w:rsidRPr="00FA50ED" w:rsidRDefault="00FA50ED" w:rsidP="00AD12FB">
      <w:pPr>
        <w:spacing w:after="120"/>
        <w:ind w:firstLine="709"/>
        <w:jc w:val="both"/>
        <w:rPr>
          <w:rFonts w:ascii="Tahoma" w:hAnsi="Tahoma" w:cs="Tahoma"/>
          <w:sz w:val="20"/>
        </w:rPr>
      </w:pPr>
    </w:p>
    <w:p w:rsidR="00FA50ED" w:rsidRPr="00FA50ED" w:rsidRDefault="00FA50ED" w:rsidP="00AD12FB">
      <w:pPr>
        <w:spacing w:after="120"/>
        <w:ind w:firstLine="709"/>
        <w:jc w:val="both"/>
        <w:rPr>
          <w:rFonts w:ascii="Tahoma" w:hAnsi="Tahoma" w:cs="Tahoma"/>
          <w:i/>
          <w:iCs/>
          <w:sz w:val="20"/>
        </w:rPr>
      </w:pPr>
      <w:r w:rsidRPr="00FA50ED">
        <w:rPr>
          <w:rFonts w:ascii="Tahoma" w:hAnsi="Tahoma" w:cs="Tahoma"/>
          <w:i/>
          <w:iCs/>
          <w:sz w:val="20"/>
        </w:rPr>
        <w:t>Art. 1º Os recursos dos regimes próprios de previdência social instituídos pela União, pelos Estados, pelo Distrito Federal e pelos Municípios nos termos da Lei nº 9.717, de 27 de novembro de 1998, devem ser aplicados conforme as disposições desta Resolução.</w:t>
      </w:r>
    </w:p>
    <w:p w:rsidR="00FA50ED" w:rsidRPr="00FA50ED" w:rsidRDefault="00FA50ED" w:rsidP="00AD12FB">
      <w:pPr>
        <w:spacing w:after="120"/>
        <w:ind w:firstLine="709"/>
        <w:jc w:val="both"/>
        <w:rPr>
          <w:rFonts w:ascii="Tahoma" w:hAnsi="Tahoma" w:cs="Tahoma"/>
          <w:sz w:val="20"/>
        </w:rPr>
      </w:pPr>
    </w:p>
    <w:p w:rsidR="00FA50ED" w:rsidRPr="00FA50ED" w:rsidRDefault="00FA50ED" w:rsidP="00EC5FD6">
      <w:pPr>
        <w:spacing w:after="120"/>
        <w:jc w:val="both"/>
        <w:rPr>
          <w:rFonts w:ascii="Tahoma" w:hAnsi="Tahoma" w:cs="Tahoma"/>
          <w:sz w:val="20"/>
        </w:rPr>
      </w:pPr>
      <w:r w:rsidRPr="00FA50ED">
        <w:rPr>
          <w:rFonts w:ascii="Tahoma" w:hAnsi="Tahoma" w:cs="Tahoma"/>
          <w:sz w:val="20"/>
        </w:rPr>
        <w:t>Limites percentuais para as aplicações dos RPPS</w:t>
      </w:r>
      <w:r w:rsidR="00487FC6">
        <w:rPr>
          <w:rFonts w:ascii="Tahoma" w:hAnsi="Tahoma" w:cs="Tahoma"/>
          <w:sz w:val="20"/>
        </w:rPr>
        <w:t xml:space="preserve"> por segmento:</w:t>
      </w:r>
    </w:p>
    <w:p w:rsidR="00FA50ED" w:rsidRPr="00FA50ED" w:rsidRDefault="00FA50ED" w:rsidP="00AD12FB">
      <w:pPr>
        <w:spacing w:after="120"/>
        <w:ind w:firstLine="709"/>
        <w:jc w:val="both"/>
        <w:rPr>
          <w:rFonts w:ascii="Tahoma" w:hAnsi="Tahoma" w:cs="Tahoma"/>
          <w:sz w:val="20"/>
        </w:rPr>
      </w:pPr>
    </w:p>
    <w:p w:rsidR="00FA50ED" w:rsidRPr="00FA50ED" w:rsidRDefault="00FA50ED" w:rsidP="00AD12FB">
      <w:pPr>
        <w:spacing w:after="120"/>
        <w:ind w:firstLine="709"/>
        <w:jc w:val="both"/>
        <w:rPr>
          <w:rFonts w:ascii="Tahoma" w:hAnsi="Tahoma" w:cs="Tahoma"/>
          <w:sz w:val="20"/>
        </w:rPr>
      </w:pPr>
      <w:r w:rsidRPr="00FA50ED">
        <w:rPr>
          <w:rFonts w:ascii="Tahoma" w:hAnsi="Tahoma" w:cs="Tahoma"/>
          <w:sz w:val="20"/>
        </w:rPr>
        <w:t>Artigo 7º - RENDA FIXA</w:t>
      </w:r>
    </w:p>
    <w:p w:rsidR="00FA50ED" w:rsidRPr="00FA50ED" w:rsidRDefault="00FA50ED" w:rsidP="00AD12FB">
      <w:pPr>
        <w:spacing w:after="120"/>
        <w:ind w:firstLine="709"/>
        <w:jc w:val="both"/>
        <w:rPr>
          <w:rFonts w:ascii="Tahoma" w:hAnsi="Tahoma" w:cs="Tahoma"/>
          <w:sz w:val="20"/>
        </w:rPr>
      </w:pPr>
      <w:r w:rsidRPr="00FA50ED">
        <w:rPr>
          <w:rFonts w:ascii="Tahoma" w:hAnsi="Tahoma" w:cs="Tahoma"/>
          <w:sz w:val="20"/>
        </w:rPr>
        <w:t>Artigo 8º - RENDA VARIÁVEL</w:t>
      </w:r>
    </w:p>
    <w:p w:rsidR="00FA50ED" w:rsidRPr="00FA50ED" w:rsidRDefault="00FA50ED" w:rsidP="00AD12FB">
      <w:pPr>
        <w:spacing w:after="120"/>
        <w:ind w:firstLine="709"/>
        <w:jc w:val="both"/>
        <w:rPr>
          <w:rFonts w:ascii="Tahoma" w:hAnsi="Tahoma" w:cs="Tahoma"/>
          <w:sz w:val="20"/>
        </w:rPr>
      </w:pPr>
      <w:r w:rsidRPr="00FA50ED">
        <w:rPr>
          <w:rFonts w:ascii="Tahoma" w:hAnsi="Tahoma" w:cs="Tahoma"/>
          <w:sz w:val="20"/>
        </w:rPr>
        <w:t>Artigo 9º - INVESTIMENTO NO EXTERIOR</w:t>
      </w:r>
    </w:p>
    <w:p w:rsidR="00FA50ED" w:rsidRPr="00FA50ED" w:rsidRDefault="00FA50ED" w:rsidP="00AD12FB">
      <w:pPr>
        <w:spacing w:after="120"/>
        <w:ind w:firstLine="709"/>
        <w:jc w:val="both"/>
        <w:rPr>
          <w:rFonts w:ascii="Tahoma" w:hAnsi="Tahoma" w:cs="Tahoma"/>
          <w:sz w:val="20"/>
        </w:rPr>
      </w:pPr>
      <w:r w:rsidRPr="00FA50ED">
        <w:rPr>
          <w:rFonts w:ascii="Tahoma" w:hAnsi="Tahoma" w:cs="Tahoma"/>
          <w:sz w:val="20"/>
        </w:rPr>
        <w:t>Artigo 10º - INVESTIMENTOS ESTRUTURADOS</w:t>
      </w:r>
    </w:p>
    <w:p w:rsidR="00FA50ED" w:rsidRPr="00FA50ED" w:rsidRDefault="00FA50ED" w:rsidP="00AD12FB">
      <w:pPr>
        <w:spacing w:after="120"/>
        <w:ind w:firstLine="709"/>
        <w:jc w:val="both"/>
        <w:rPr>
          <w:rFonts w:ascii="Tahoma" w:hAnsi="Tahoma" w:cs="Tahoma"/>
          <w:sz w:val="20"/>
        </w:rPr>
      </w:pPr>
      <w:r w:rsidRPr="00FA50ED">
        <w:rPr>
          <w:rFonts w:ascii="Tahoma" w:hAnsi="Tahoma" w:cs="Tahoma"/>
          <w:sz w:val="20"/>
        </w:rPr>
        <w:t>Artigo 11º - FUNDOS IMOBILIÁRIOS</w:t>
      </w:r>
    </w:p>
    <w:p w:rsidR="00FA50ED" w:rsidRPr="00FA50ED" w:rsidRDefault="00FA50ED" w:rsidP="00AD12FB">
      <w:pPr>
        <w:spacing w:after="120"/>
        <w:ind w:firstLine="709"/>
        <w:jc w:val="both"/>
        <w:rPr>
          <w:rFonts w:ascii="Tahoma" w:hAnsi="Tahoma" w:cs="Tahoma"/>
          <w:sz w:val="20"/>
        </w:rPr>
      </w:pPr>
      <w:r w:rsidRPr="00FA50ED">
        <w:rPr>
          <w:rFonts w:ascii="Tahoma" w:hAnsi="Tahoma" w:cs="Tahoma"/>
          <w:sz w:val="20"/>
        </w:rPr>
        <w:t>Artigo 12º - EMPRÉSTIMOS CONSIGNADOS</w:t>
      </w:r>
    </w:p>
    <w:p w:rsidR="00FA50ED" w:rsidRPr="00FA50ED" w:rsidRDefault="00FA50ED" w:rsidP="00AD12FB">
      <w:pPr>
        <w:spacing w:after="120"/>
        <w:ind w:firstLine="709"/>
        <w:jc w:val="both"/>
        <w:rPr>
          <w:rFonts w:ascii="Tahoma" w:hAnsi="Tahoma" w:cs="Tahoma"/>
          <w:sz w:val="20"/>
        </w:rPr>
      </w:pPr>
    </w:p>
    <w:p w:rsidR="00357F66" w:rsidRPr="00891784" w:rsidRDefault="00FA50ED" w:rsidP="00AD12FB">
      <w:pPr>
        <w:spacing w:after="120"/>
        <w:ind w:firstLine="709"/>
        <w:jc w:val="both"/>
        <w:rPr>
          <w:rFonts w:ascii="Tahoma" w:hAnsi="Tahoma" w:cs="Tahoma"/>
          <w:b/>
          <w:bCs/>
          <w:i/>
          <w:iCs/>
          <w:sz w:val="16"/>
          <w:szCs w:val="18"/>
        </w:rPr>
      </w:pPr>
      <w:r w:rsidRPr="00D31186">
        <w:rPr>
          <w:rFonts w:ascii="Tahoma" w:hAnsi="Tahoma" w:cs="Tahoma"/>
          <w:sz w:val="20"/>
        </w:rPr>
        <w:t xml:space="preserve">A </w:t>
      </w:r>
      <w:r w:rsidR="007A0B11" w:rsidRPr="00D31186">
        <w:rPr>
          <w:rFonts w:ascii="Tahoma" w:hAnsi="Tahoma" w:cs="Tahoma"/>
          <w:sz w:val="20"/>
        </w:rPr>
        <w:t>Política de Investimentos</w:t>
      </w:r>
      <w:r w:rsidRPr="00D31186">
        <w:rPr>
          <w:rFonts w:ascii="Tahoma" w:hAnsi="Tahoma" w:cs="Tahoma"/>
          <w:sz w:val="20"/>
        </w:rPr>
        <w:t xml:space="preserve"> do</w:t>
      </w:r>
      <w:r w:rsidR="007E77FF">
        <w:rPr>
          <w:rFonts w:ascii="Tahoma" w:hAnsi="Tahoma" w:cs="Tahoma"/>
          <w:sz w:val="20"/>
        </w:rPr>
        <w:t xml:space="preserve"> </w:t>
      </w:r>
      <w:r w:rsidRPr="00D31186">
        <w:rPr>
          <w:rFonts w:ascii="Tahoma" w:hAnsi="Tahoma" w:cs="Tahoma"/>
          <w:sz w:val="20"/>
        </w:rPr>
        <w:t>RPPS  obedece ao que determina a legislação vigente, especialmente</w:t>
      </w:r>
      <w:r w:rsidR="0095399B">
        <w:rPr>
          <w:rFonts w:ascii="Tahoma" w:hAnsi="Tahoma" w:cs="Tahoma"/>
          <w:sz w:val="20"/>
        </w:rPr>
        <w:t>,</w:t>
      </w:r>
      <w:r w:rsidRPr="00D31186">
        <w:rPr>
          <w:rFonts w:ascii="Tahoma" w:hAnsi="Tahoma" w:cs="Tahoma"/>
          <w:sz w:val="20"/>
        </w:rPr>
        <w:t xml:space="preserve"> a Resolução do Conselho Monetário Nacional nº 4.963/2021 e</w:t>
      </w:r>
      <w:r w:rsidR="0095399B">
        <w:rPr>
          <w:rFonts w:ascii="Tahoma" w:hAnsi="Tahoma" w:cs="Tahoma"/>
          <w:sz w:val="20"/>
        </w:rPr>
        <w:t>,</w:t>
      </w:r>
      <w:r w:rsidRPr="00D31186">
        <w:rPr>
          <w:rFonts w:ascii="Tahoma" w:hAnsi="Tahoma" w:cs="Tahoma"/>
          <w:sz w:val="20"/>
        </w:rPr>
        <w:t xml:space="preserve"> da mesma forma atende as obrigações colocadas na Portaria M</w:t>
      </w:r>
      <w:r w:rsidR="00D31186" w:rsidRPr="00D31186">
        <w:rPr>
          <w:rFonts w:ascii="Tahoma" w:hAnsi="Tahoma" w:cs="Tahoma"/>
          <w:sz w:val="20"/>
        </w:rPr>
        <w:t>TP</w:t>
      </w:r>
      <w:r w:rsidR="00F23B5E" w:rsidRPr="00D31186">
        <w:rPr>
          <w:rFonts w:ascii="Tahoma" w:hAnsi="Tahoma" w:cs="Tahoma"/>
          <w:sz w:val="20"/>
        </w:rPr>
        <w:t xml:space="preserve"> nº</w:t>
      </w:r>
      <w:r w:rsidRPr="00D31186">
        <w:rPr>
          <w:rFonts w:ascii="Tahoma" w:hAnsi="Tahoma" w:cs="Tahoma"/>
          <w:sz w:val="20"/>
        </w:rPr>
        <w:t xml:space="preserve"> 1.467</w:t>
      </w:r>
      <w:r w:rsidR="00F23B5E" w:rsidRPr="00D31186">
        <w:rPr>
          <w:rFonts w:ascii="Tahoma" w:hAnsi="Tahoma" w:cs="Tahoma"/>
          <w:sz w:val="20"/>
        </w:rPr>
        <w:t>/2022</w:t>
      </w:r>
      <w:r w:rsidRPr="00D31186">
        <w:rPr>
          <w:rFonts w:ascii="Tahoma" w:hAnsi="Tahoma" w:cs="Tahoma"/>
          <w:sz w:val="20"/>
        </w:rPr>
        <w:t>.</w:t>
      </w:r>
    </w:p>
    <w:p w:rsidR="00FA50ED" w:rsidRDefault="00FA50ED" w:rsidP="00A50E9C">
      <w:pPr>
        <w:spacing w:after="120"/>
        <w:jc w:val="both"/>
        <w:rPr>
          <w:rFonts w:ascii="Tahoma" w:hAnsi="Tahoma" w:cs="Tahoma"/>
          <w:b/>
          <w:bCs/>
          <w:i/>
          <w:iCs/>
          <w:sz w:val="16"/>
          <w:szCs w:val="18"/>
        </w:rPr>
      </w:pPr>
    </w:p>
    <w:p w:rsidR="00FA50ED" w:rsidRPr="00422F7A" w:rsidRDefault="00FA50ED" w:rsidP="00A50E9C">
      <w:pPr>
        <w:spacing w:after="120"/>
        <w:jc w:val="both"/>
        <w:rPr>
          <w:rFonts w:ascii="Tahoma" w:hAnsi="Tahoma" w:cs="Tahoma"/>
          <w:i/>
          <w:iCs/>
          <w:sz w:val="16"/>
          <w:szCs w:val="18"/>
        </w:rPr>
      </w:pPr>
      <w:r>
        <w:rPr>
          <w:rFonts w:ascii="Tahoma" w:hAnsi="Tahoma" w:cs="Tahoma"/>
          <w:b/>
          <w:bCs/>
          <w:i/>
          <w:iCs/>
          <w:sz w:val="16"/>
          <w:szCs w:val="18"/>
        </w:rPr>
        <w:t xml:space="preserve">Obs.: </w:t>
      </w:r>
      <w:r w:rsidRPr="00422F7A">
        <w:rPr>
          <w:rFonts w:ascii="Tahoma" w:hAnsi="Tahoma" w:cs="Tahoma"/>
          <w:i/>
          <w:iCs/>
          <w:sz w:val="16"/>
          <w:szCs w:val="18"/>
        </w:rPr>
        <w:t xml:space="preserve">Para informações mais detalhadas sobre a </w:t>
      </w:r>
      <w:r w:rsidR="00422F7A">
        <w:rPr>
          <w:rFonts w:ascii="Tahoma" w:hAnsi="Tahoma" w:cs="Tahoma"/>
          <w:i/>
          <w:iCs/>
          <w:sz w:val="16"/>
          <w:szCs w:val="18"/>
        </w:rPr>
        <w:t xml:space="preserve">CMN </w:t>
      </w:r>
      <w:r w:rsidR="00F23B5E">
        <w:rPr>
          <w:rFonts w:ascii="Tahoma" w:hAnsi="Tahoma" w:cs="Tahoma"/>
          <w:i/>
          <w:iCs/>
          <w:sz w:val="16"/>
          <w:szCs w:val="18"/>
        </w:rPr>
        <w:t xml:space="preserve">nº </w:t>
      </w:r>
      <w:r w:rsidR="00422F7A">
        <w:rPr>
          <w:rFonts w:ascii="Tahoma" w:hAnsi="Tahoma" w:cs="Tahoma"/>
          <w:i/>
          <w:iCs/>
          <w:sz w:val="16"/>
          <w:szCs w:val="18"/>
        </w:rPr>
        <w:t>4.963/2021 pode ser vis</w:t>
      </w:r>
      <w:r w:rsidR="00487FC6">
        <w:rPr>
          <w:rFonts w:ascii="Tahoma" w:hAnsi="Tahoma" w:cs="Tahoma"/>
          <w:i/>
          <w:iCs/>
          <w:sz w:val="16"/>
          <w:szCs w:val="18"/>
        </w:rPr>
        <w:t>t</w:t>
      </w:r>
      <w:r w:rsidR="00422F7A">
        <w:rPr>
          <w:rFonts w:ascii="Tahoma" w:hAnsi="Tahoma" w:cs="Tahoma"/>
          <w:i/>
          <w:iCs/>
          <w:sz w:val="16"/>
          <w:szCs w:val="18"/>
        </w:rPr>
        <w:t>a no link abaixo:</w:t>
      </w:r>
    </w:p>
    <w:p w:rsidR="00422F7A" w:rsidRPr="00487FC6" w:rsidRDefault="00422F7A" w:rsidP="00A50E9C">
      <w:pPr>
        <w:spacing w:after="120"/>
        <w:jc w:val="both"/>
        <w:rPr>
          <w:rFonts w:ascii="Tahoma" w:hAnsi="Tahoma" w:cs="Tahoma"/>
          <w:i/>
          <w:iCs/>
          <w:color w:val="002060"/>
          <w:sz w:val="16"/>
          <w:szCs w:val="18"/>
        </w:rPr>
      </w:pPr>
      <w:r w:rsidRPr="00487FC6">
        <w:rPr>
          <w:rFonts w:ascii="Tahoma" w:hAnsi="Tahoma" w:cs="Tahoma"/>
          <w:i/>
          <w:iCs/>
          <w:color w:val="002060"/>
          <w:sz w:val="16"/>
          <w:szCs w:val="18"/>
        </w:rPr>
        <w:t>https://referencia.poa.br/legislacao/</w:t>
      </w:r>
    </w:p>
    <w:p w:rsidR="00AD12FB" w:rsidRDefault="00AD12FB">
      <w:pPr>
        <w:rPr>
          <w:rFonts w:ascii="Tahoma" w:hAnsi="Tahoma" w:cs="Tahoma"/>
          <w:b/>
          <w:bCs/>
          <w:i/>
          <w:iCs/>
          <w:sz w:val="16"/>
          <w:szCs w:val="18"/>
        </w:rPr>
      </w:pPr>
      <w:r>
        <w:rPr>
          <w:rFonts w:ascii="Tahoma" w:hAnsi="Tahoma" w:cs="Tahoma"/>
          <w:b/>
          <w:bCs/>
          <w:i/>
          <w:iCs/>
          <w:sz w:val="16"/>
          <w:szCs w:val="18"/>
        </w:rPr>
        <w:br w:type="page"/>
      </w:r>
    </w:p>
    <w:bookmarkStart w:id="12" w:name="_Toc181778161"/>
    <w:p w:rsidR="00465C63" w:rsidRPr="009911C8" w:rsidRDefault="00AD12FB" w:rsidP="000C021C">
      <w:pPr>
        <w:pStyle w:val="Ttulo1"/>
        <w:rPr>
          <w:sz w:val="20"/>
        </w:rPr>
      </w:pPr>
      <w:r w:rsidRPr="00E4782B">
        <w:object w:dxaOrig="2425" w:dyaOrig="2598">
          <v:shape id="_x0000_i1061" type="#_x0000_t75" style="width:9.4pt;height:8.15pt" o:ole="">
            <v:imagedata r:id="rId8" o:title=""/>
          </v:shape>
          <o:OLEObject Type="Embed" ProgID="CorelDRAW.Graphic.13" ShapeID="_x0000_i1061" DrawAspect="Content" ObjectID="_1792498597" r:id="rId46"/>
        </w:object>
      </w:r>
      <w:r w:rsidR="00465C63" w:rsidRPr="000C021C">
        <w:rPr>
          <w:rStyle w:val="Ttulo1Char"/>
          <w:b/>
          <w:bCs/>
          <w:sz w:val="22"/>
        </w:rPr>
        <w:t>CONJUNTURA ECONÔMICA E ANÁLISE DE MERCADO</w:t>
      </w:r>
      <w:r w:rsidR="00465C63" w:rsidRPr="00E8601E">
        <w:t xml:space="preserve"> </w:t>
      </w:r>
      <w:bookmarkEnd w:id="12"/>
      <w:r w:rsidR="00465C63" w:rsidRPr="00E8601E">
        <w:rPr>
          <w:sz w:val="20"/>
        </w:rPr>
        <w:object w:dxaOrig="3163" w:dyaOrig="3187">
          <v:shape id="_x0000_i1062" type="#_x0000_t75" style="width:21.9pt;height:23.15pt" o:ole="">
            <v:imagedata r:id="rId10" o:title=""/>
          </v:shape>
          <o:OLEObject Type="Embed" ProgID="CorelDRAW.Graphic.13" ShapeID="_x0000_i1062" DrawAspect="Content" ObjectID="_1792498598" r:id="rId47"/>
        </w:object>
      </w:r>
    </w:p>
    <w:p w:rsidR="00FE132C" w:rsidRPr="00FE132C" w:rsidRDefault="00FE132C" w:rsidP="00AD12FB">
      <w:pPr>
        <w:spacing w:after="120"/>
        <w:ind w:firstLine="709"/>
        <w:rPr>
          <w:rFonts w:cs="Tahoma"/>
          <w:szCs w:val="20"/>
        </w:rPr>
      </w:pPr>
      <w:bookmarkStart w:id="13" w:name="_Toc436040840"/>
    </w:p>
    <w:p w:rsidR="00FE132C" w:rsidRDefault="00FE132C" w:rsidP="00D93366">
      <w:pPr>
        <w:spacing w:after="120"/>
        <w:ind w:firstLine="709"/>
        <w:jc w:val="both"/>
        <w:rPr>
          <w:rFonts w:cs="Tahoma"/>
          <w:szCs w:val="20"/>
        </w:rPr>
      </w:pPr>
      <w:r w:rsidRPr="00FE132C">
        <w:rPr>
          <w:rFonts w:cs="Tahoma"/>
          <w:szCs w:val="20"/>
        </w:rPr>
        <w:t>A conjuntura econômica representa uma configuração da realidade circunstancial da economia. Através de indicadores de mercado e suas inter-relações, esta seção pretende cumprir o papel de apresentar perspectivas acerca das possíveis condições econômicas que pautarão o próximo exercício. O foco é atribuído em especial às expectativas de mercado, as quais se constituem como as principais sinalizadoras para a tomada de decisões de investimentos. A proposta é produzir indícios que permitam transitar pela realidade atual e espreitar as conjecturas formadas pelos agentes de mercado. A partir dos indicadores selecionados, analisa-se o comportamento da economia ao longo do ano, identificando-se os principais desafios e tendências para a condução da política econômica no decorrer de 2025.</w:t>
      </w:r>
    </w:p>
    <w:p w:rsidR="00FE132C" w:rsidRPr="002B3FE6" w:rsidRDefault="00FE132C" w:rsidP="00FE132C">
      <w:pPr>
        <w:tabs>
          <w:tab w:val="left" w:pos="284"/>
        </w:tabs>
        <w:spacing w:before="120"/>
        <w:rPr>
          <w:rFonts w:ascii="Tahoma" w:hAnsi="Tahoma" w:cs="Tahoma"/>
          <w:b/>
          <w:sz w:val="20"/>
          <w:szCs w:val="20"/>
        </w:rPr>
      </w:pPr>
      <w:r w:rsidRPr="002B3FE6">
        <w:rPr>
          <w:rFonts w:ascii="Tahoma" w:hAnsi="Tahoma" w:cs="Tahoma"/>
          <w:b/>
          <w:sz w:val="20"/>
          <w:szCs w:val="20"/>
        </w:rPr>
        <w:t>Breve Histórico 2020-2023</w:t>
      </w:r>
    </w:p>
    <w:p w:rsidR="00FE132C" w:rsidRPr="00FE132C" w:rsidRDefault="00FE132C" w:rsidP="00D93366">
      <w:pPr>
        <w:spacing w:after="120"/>
        <w:ind w:firstLine="709"/>
        <w:jc w:val="both"/>
        <w:rPr>
          <w:rFonts w:cs="Tahoma"/>
          <w:szCs w:val="20"/>
        </w:rPr>
      </w:pPr>
      <w:r w:rsidRPr="00FE132C">
        <w:rPr>
          <w:rFonts w:cs="Tahoma"/>
          <w:szCs w:val="20"/>
        </w:rPr>
        <w:t>Em 2020, a economia global foi severamente impactada pela pandemia do novo coronavírus, com as expectativas de aceleração do crescimento restando frustradas logo no primeiro trimestre daquele ano. As medidas de distanciamento social adotadas em larga escala paralisaram boa parte da atividade econômica, com o PIB mundial recuando -3,4%. Excetuando-se a China</w:t>
      </w:r>
      <w:r w:rsidR="0095399B">
        <w:rPr>
          <w:rFonts w:cs="Tahoma"/>
          <w:szCs w:val="20"/>
        </w:rPr>
        <w:t>,</w:t>
      </w:r>
      <w:r w:rsidRPr="00FE132C">
        <w:rPr>
          <w:rFonts w:cs="Tahoma"/>
          <w:szCs w:val="20"/>
        </w:rPr>
        <w:t xml:space="preserve"> que cresceu 2,3% no período, as principais economias do mundo registraram significativas retrações de PIB, destacando-se as variações negativas dos EUA (-3,4%), dos países que integram a Zona do Euro (-6,5%), Reino Unido (-9,8%) e Japão (-4,6%). No Brasil, a queda foi de   -3,9%, com a retração só não sendo maior em virtude dos programas de transferência direta de renda e dos auxílios financeiros concedidos a </w:t>
      </w:r>
      <w:r w:rsidR="0095399B">
        <w:rPr>
          <w:rFonts w:cs="Tahoma"/>
          <w:szCs w:val="20"/>
        </w:rPr>
        <w:t>E</w:t>
      </w:r>
      <w:r w:rsidRPr="00FE132C">
        <w:rPr>
          <w:rFonts w:cs="Tahoma"/>
          <w:szCs w:val="20"/>
        </w:rPr>
        <w:t xml:space="preserve">stados e </w:t>
      </w:r>
      <w:r w:rsidR="0095399B">
        <w:rPr>
          <w:rFonts w:cs="Tahoma"/>
          <w:szCs w:val="20"/>
        </w:rPr>
        <w:t>M</w:t>
      </w:r>
      <w:r w:rsidRPr="00FE132C">
        <w:rPr>
          <w:rFonts w:cs="Tahoma"/>
          <w:szCs w:val="20"/>
        </w:rPr>
        <w:t xml:space="preserve">unicípios pela União, cujo efeito colateral consistiu no agravamento das contas públicas a partir do estabelecimento de um déficit primário superior a 9% do PIB. </w:t>
      </w:r>
    </w:p>
    <w:p w:rsidR="00FE132C" w:rsidRPr="00FE132C" w:rsidRDefault="00FE132C" w:rsidP="00D93366">
      <w:pPr>
        <w:spacing w:after="120"/>
        <w:ind w:firstLine="709"/>
        <w:jc w:val="both"/>
        <w:rPr>
          <w:rFonts w:cs="Tahoma"/>
          <w:szCs w:val="20"/>
        </w:rPr>
      </w:pPr>
      <w:r w:rsidRPr="00FE132C">
        <w:rPr>
          <w:rFonts w:cs="Tahoma"/>
          <w:szCs w:val="20"/>
        </w:rPr>
        <w:t>Já em 2021, as expectativas de retomada do crescimento estiveram diretamente vinculadas ao avanço e respectivo sucesso dos programas de vacinação ao redor do mundo. Por conseguinte, a maior eficácia conferida às ações de combate à pandemia permitiu aos governos flexibilizarem suas medidas de isolamento social, com o setor de serviços, que responde por aproximadamente 65% do PIB mundial, gradativamente retomando suas atividades ao longo daquele exercício. A progressiva retomada desse setor implicou um crescimento global, em média, de 5,7% em 2021, com as expansões registradas ao redor do mundo recuperando total ou parcialmente os prejuízos acumulados no exercício anterior. Enquanto a China cresceu 8,1% no período, a Zona do Euro, os EUA e o Brasil registraram respectivas variações positivas de 5,9%, 5,7% e 4,6%.</w:t>
      </w:r>
    </w:p>
    <w:p w:rsidR="00FE132C" w:rsidRPr="00FE132C" w:rsidRDefault="00FE132C" w:rsidP="00D93366">
      <w:pPr>
        <w:spacing w:after="120"/>
        <w:ind w:firstLine="709"/>
        <w:jc w:val="both"/>
        <w:rPr>
          <w:rFonts w:cs="Tahoma"/>
          <w:szCs w:val="20"/>
        </w:rPr>
      </w:pPr>
      <w:r w:rsidRPr="00FE132C">
        <w:rPr>
          <w:rFonts w:cs="Tahoma"/>
          <w:szCs w:val="20"/>
        </w:rPr>
        <w:t>A recuperação econômica ocorrida em 2021</w:t>
      </w:r>
      <w:r w:rsidR="0095399B">
        <w:rPr>
          <w:rFonts w:cs="Tahoma"/>
          <w:szCs w:val="20"/>
        </w:rPr>
        <w:t>,</w:t>
      </w:r>
      <w:r w:rsidRPr="00FE132C">
        <w:rPr>
          <w:rFonts w:cs="Tahoma"/>
          <w:szCs w:val="20"/>
        </w:rPr>
        <w:t xml:space="preserve"> acompanhada da contínua queda dos casos de contaminação pelo novo coronavírus fomentaram as expectativas de crescimento para 2022. Todavia, o desequilíbrio entre oferta e demanda ocasionado pela pandemia, sobretudo da indústria chinesa, que além da crise energética experimentada ao longo do ano também teve que lidar com novas medidas de distanciamento social, teve como principal consequência o aumento da inflação em termos globais. Soma-se a isso a crise geopolítica entre Rússia e Ucrânia, cujos efeitos repercutiram diretamente nos preços da energia e dos alimentos, agravando a crise de oferta já deflagrada pela pandemia. Com efeito, o crescimento global registrado em 2022 foi de 3,3%, ou seja, </w:t>
      </w:r>
      <w:r w:rsidRPr="00FE132C">
        <w:rPr>
          <w:rFonts w:cs="Tahoma"/>
          <w:szCs w:val="20"/>
        </w:rPr>
        <w:lastRenderedPageBreak/>
        <w:t>ficando abaixo tanto das previsões iniciais (4,8%) como da expansão verificada no ano anterior (5,7%).</w:t>
      </w:r>
    </w:p>
    <w:p w:rsidR="00FE132C" w:rsidRPr="00FE132C" w:rsidRDefault="00FE132C" w:rsidP="00D93366">
      <w:pPr>
        <w:spacing w:after="120"/>
        <w:ind w:firstLine="709"/>
        <w:jc w:val="both"/>
        <w:rPr>
          <w:rFonts w:cs="Tahoma"/>
          <w:szCs w:val="20"/>
        </w:rPr>
      </w:pPr>
      <w:r w:rsidRPr="00FE132C">
        <w:rPr>
          <w:rFonts w:cs="Tahoma"/>
          <w:szCs w:val="20"/>
        </w:rPr>
        <w:t>O resultado global de 2022 refletiu as performances abaixo do previsto das principais economias mundiais, uma vez que China, EUA e a Zona do Euro cresceram respectivamente 3%, 3,4% e 2,1% no período.  De parte do BRICs, além da já referida tímida expansão chinesa, destaca-se o crescimento negativo da Rússia (-2%), cujo PIB foi fortemente afetado pela guerra com a Ucrânia, além dos desempenhos acima da média registrados pela Índia (7,2%) e Arábia Saudita (8,8%).</w:t>
      </w:r>
    </w:p>
    <w:p w:rsidR="00FE132C" w:rsidRPr="00FE132C" w:rsidRDefault="00FE132C" w:rsidP="00D93366">
      <w:pPr>
        <w:spacing w:after="120"/>
        <w:ind w:firstLine="709"/>
        <w:jc w:val="both"/>
        <w:rPr>
          <w:rFonts w:cs="Tahoma"/>
          <w:szCs w:val="20"/>
        </w:rPr>
      </w:pPr>
      <w:r w:rsidRPr="00FE132C">
        <w:rPr>
          <w:rFonts w:cs="Tahoma"/>
          <w:szCs w:val="20"/>
        </w:rPr>
        <w:t>Em 2023, o cenário pouco se alterou em relação ao ano anterior. As pressões inflacionárias ao redor do mundo seguiram incentivando a adoção de políticas monetárias contracionistas, com os respectivos efeitos sobre os juros desacelerando o ritmo de recuperação global. Em que pese</w:t>
      </w:r>
      <w:r w:rsidR="0095399B">
        <w:rPr>
          <w:rFonts w:cs="Tahoma"/>
          <w:szCs w:val="20"/>
        </w:rPr>
        <w:t>,</w:t>
      </w:r>
      <w:r w:rsidRPr="00FE132C">
        <w:rPr>
          <w:rFonts w:cs="Tahoma"/>
          <w:szCs w:val="20"/>
        </w:rPr>
        <w:t xml:space="preserve"> a menor pressão exercida pela crise no </w:t>
      </w:r>
      <w:r w:rsidR="0095399B">
        <w:rPr>
          <w:rFonts w:cs="Tahoma"/>
          <w:szCs w:val="20"/>
        </w:rPr>
        <w:t>L</w:t>
      </w:r>
      <w:r w:rsidRPr="00FE132C">
        <w:rPr>
          <w:rFonts w:cs="Tahoma"/>
          <w:szCs w:val="20"/>
        </w:rPr>
        <w:t xml:space="preserve">este </w:t>
      </w:r>
      <w:r w:rsidR="0095399B">
        <w:rPr>
          <w:rFonts w:cs="Tahoma"/>
          <w:szCs w:val="20"/>
        </w:rPr>
        <w:t>E</w:t>
      </w:r>
      <w:r w:rsidRPr="00FE132C">
        <w:rPr>
          <w:rFonts w:cs="Tahoma"/>
          <w:szCs w:val="20"/>
        </w:rPr>
        <w:t>uropeu sobre o preço dos alimentos e das commodities, em especial a partir do segundo semestre do ano, a relação entre oferta e demanda seguiu em descompasso, com as pressões inflacionárias exigindo a adoção de pol</w:t>
      </w:r>
      <w:r w:rsidR="0095399B">
        <w:rPr>
          <w:rFonts w:cs="Tahoma"/>
          <w:szCs w:val="20"/>
        </w:rPr>
        <w:t>í</w:t>
      </w:r>
      <w:r w:rsidRPr="00FE132C">
        <w:rPr>
          <w:rFonts w:cs="Tahoma"/>
          <w:szCs w:val="20"/>
        </w:rPr>
        <w:t xml:space="preserve">ticas econômicas mais rígidas. </w:t>
      </w:r>
    </w:p>
    <w:p w:rsidR="00FE132C" w:rsidRDefault="00FE132C" w:rsidP="00D93366">
      <w:pPr>
        <w:spacing w:after="120"/>
        <w:ind w:firstLine="709"/>
        <w:jc w:val="both"/>
        <w:rPr>
          <w:rFonts w:cs="Tahoma"/>
          <w:szCs w:val="20"/>
        </w:rPr>
      </w:pPr>
      <w:r w:rsidRPr="00FE132C">
        <w:rPr>
          <w:rFonts w:cs="Tahoma"/>
          <w:szCs w:val="20"/>
        </w:rPr>
        <w:t>No ano passado, a economia global cresceu 3,1%, com os crescimentos registrados pelo Brasil, EUA e Zona do Euro sendo respectivamente de 2,9%, 2,5% e 0,5%. Por sua vez, a China melhorou em relação a 2022, expandindo 5,24% em 2023, contudo, ainda performando bem abaixo de suas máximas históricas.</w:t>
      </w:r>
    </w:p>
    <w:p w:rsidR="00FE132C" w:rsidRPr="00FE132C" w:rsidRDefault="00FE132C" w:rsidP="000C021C">
      <w:pPr>
        <w:pStyle w:val="Ttulo2"/>
        <w:rPr>
          <w:rFonts w:ascii="Tahoma" w:hAnsi="Tahoma" w:cs="Tahoma"/>
          <w:b/>
          <w:sz w:val="20"/>
          <w:szCs w:val="20"/>
        </w:rPr>
      </w:pPr>
      <w:bookmarkStart w:id="14" w:name="_Toc181778162"/>
      <w:r w:rsidRPr="000C021C">
        <w:rPr>
          <w:rFonts w:ascii="Tahoma" w:hAnsi="Tahoma" w:cs="Tahoma"/>
          <w:b/>
          <w:color w:val="auto"/>
          <w:sz w:val="20"/>
          <w:szCs w:val="20"/>
        </w:rPr>
        <w:t>Análise e Projeções 2024/2025</w:t>
      </w:r>
      <w:bookmarkEnd w:id="14"/>
    </w:p>
    <w:p w:rsidR="00FE132C" w:rsidRPr="00FE132C" w:rsidRDefault="00FE132C" w:rsidP="00D93366">
      <w:pPr>
        <w:spacing w:after="120"/>
        <w:ind w:firstLine="709"/>
        <w:jc w:val="both"/>
        <w:rPr>
          <w:rFonts w:cs="Tahoma"/>
          <w:szCs w:val="20"/>
        </w:rPr>
      </w:pPr>
      <w:r w:rsidRPr="00FE132C">
        <w:rPr>
          <w:rFonts w:cs="Tahoma"/>
          <w:szCs w:val="20"/>
        </w:rPr>
        <w:t>Para 2024, o recuo da inflação ao redor do mundo e a tendência de atingimento das metas estabelecidas pelos bancos centrais no decorrer do presente biênio, fomentam estáveis e resilientes expectativas de crescimento econômico. Segundo as recentes previsões divulgadas pela Organização para Cooperação e Desenvolvimento Econômico (OCDE), o crescimento global projetado para 2024 é de 3,2%, ou seja, pouco superior a marca atingida em 2023, contudo, sendo previsto idêntico percentual também para 2025.</w:t>
      </w:r>
    </w:p>
    <w:p w:rsidR="00FE132C" w:rsidRPr="00FE132C" w:rsidRDefault="00FE132C" w:rsidP="00D93366">
      <w:pPr>
        <w:spacing w:after="120"/>
        <w:ind w:firstLine="709"/>
        <w:jc w:val="both"/>
        <w:rPr>
          <w:rFonts w:cs="Tahoma"/>
          <w:szCs w:val="20"/>
        </w:rPr>
      </w:pPr>
      <w:r w:rsidRPr="00FE132C">
        <w:rPr>
          <w:rFonts w:cs="Tahoma"/>
          <w:szCs w:val="20"/>
        </w:rPr>
        <w:t>De acordo com a OCDE, a inflação do G20 – grupo que reúne as maiores economias do mundo – projetada para 2024 é de 5,4%, caindo para 3,3% em 2025, registrando que em 2023 o indicador ficou em 6,1%. Idêntica tendência é observada para as economias desenvolvidas, que após fechar 2023 com inflação média de 4,2%, possuem previstas respectivas taxas de 2,7% e de 2,1% para os exercícios de 2024 e 2025. Em síntese, o indicativo de inflação em queda abre espaço para continuidade da queda dos juros em termos globais, incentivando o crescimento do comércio, melhorias nas rendas reais e a adoção de políticas monetárias acomodatícias.</w:t>
      </w:r>
    </w:p>
    <w:p w:rsidR="00FE132C" w:rsidRPr="00FE132C" w:rsidRDefault="00FE132C" w:rsidP="00D93366">
      <w:pPr>
        <w:spacing w:after="120"/>
        <w:ind w:firstLine="709"/>
        <w:jc w:val="both"/>
        <w:rPr>
          <w:rFonts w:cs="Tahoma"/>
          <w:szCs w:val="20"/>
        </w:rPr>
      </w:pPr>
      <w:r w:rsidRPr="00FE132C">
        <w:rPr>
          <w:rFonts w:cs="Tahoma"/>
          <w:szCs w:val="20"/>
        </w:rPr>
        <w:t>Apesar do otimismo acerca da evolução inflacionária, a OCDE chama atenção para alguns pontos a serem monitorados ao longo do presente biênio, como por exemplo, a continuidade das tensões geopolíticas e seus efeitos sobre a oferta global</w:t>
      </w:r>
      <w:r w:rsidR="0095399B">
        <w:rPr>
          <w:rFonts w:cs="Tahoma"/>
          <w:szCs w:val="20"/>
        </w:rPr>
        <w:t>,</w:t>
      </w:r>
      <w:r w:rsidRPr="00FE132C">
        <w:rPr>
          <w:rFonts w:cs="Tahoma"/>
          <w:szCs w:val="20"/>
        </w:rPr>
        <w:t xml:space="preserve"> a defasagem dos efeitos da prolongada pol</w:t>
      </w:r>
      <w:r w:rsidR="0095399B">
        <w:rPr>
          <w:rFonts w:cs="Tahoma"/>
          <w:szCs w:val="20"/>
        </w:rPr>
        <w:t>í</w:t>
      </w:r>
      <w:r w:rsidRPr="00FE132C">
        <w:rPr>
          <w:rFonts w:cs="Tahoma"/>
          <w:szCs w:val="20"/>
        </w:rPr>
        <w:t xml:space="preserve">tica contracionista sobre a demanda e possíveis oscilações nos mercados financeiros decorrentes do processo de desinflação. </w:t>
      </w:r>
    </w:p>
    <w:p w:rsidR="00FE132C" w:rsidRPr="00FE132C" w:rsidRDefault="00FE132C" w:rsidP="00D93366">
      <w:pPr>
        <w:spacing w:after="120"/>
        <w:ind w:firstLine="709"/>
        <w:jc w:val="both"/>
        <w:rPr>
          <w:rFonts w:cs="Tahoma"/>
          <w:szCs w:val="20"/>
        </w:rPr>
      </w:pPr>
      <w:r w:rsidRPr="00FE132C">
        <w:rPr>
          <w:rFonts w:cs="Tahoma"/>
          <w:szCs w:val="20"/>
        </w:rPr>
        <w:t xml:space="preserve">No que tange aos EUA, as previsões da OCDE indicam crescimentos de 2,6% em 2024 e de 1,6% para 2025, na medida em que o impacto da redução dos juros sobre a atividade econômica tende a estar mais concentrado no atual exercício, com seus efeitos desacelerando no ano subsequente. Já na Zona do Euro, que não teve o mesmo ritmo de recuperação econômica observado nos EUA, as taxas esperadas para 2024 e 2025 são menores, contudo, crescentes, </w:t>
      </w:r>
      <w:r w:rsidRPr="00FE132C">
        <w:rPr>
          <w:rFonts w:cs="Tahoma"/>
          <w:szCs w:val="20"/>
        </w:rPr>
        <w:lastRenderedPageBreak/>
        <w:t>respectivamente de 0,7% e de 1,3%. No caso da China, principal propulsor da economia mundial, as taxas de crescimento esperadas para 2024 e 2025 indicam sucessivas desacelerações, recuando dos 5,2% aferidos em 2023 para respectivamente 4,9% e 4,5%. As quedas projetadas têm como base o comportamento ainda moderado da demanda doméstica (setor privado) e, principalmente, do movimento em curso de correção do mercado imobiliário, cujas vendas tem caído de maneira sistemática ao longo dos últimos meses. Não obstante, novos incentivos advindos do setor público são esperados para os próximos anos.</w:t>
      </w:r>
    </w:p>
    <w:p w:rsidR="00FE132C" w:rsidRPr="00FE132C" w:rsidRDefault="00FE132C" w:rsidP="00D93366">
      <w:pPr>
        <w:spacing w:after="120"/>
        <w:ind w:firstLine="709"/>
        <w:jc w:val="both"/>
        <w:rPr>
          <w:rFonts w:cs="Tahoma"/>
          <w:szCs w:val="20"/>
        </w:rPr>
      </w:pPr>
      <w:r w:rsidRPr="00FE132C">
        <w:rPr>
          <w:rFonts w:cs="Tahoma"/>
          <w:szCs w:val="20"/>
        </w:rPr>
        <w:t>Excetuando-se a Argentina, que tem estimada uma significativa recessão de -4%, os demais países emergentes que integram o grupo das 20 principais economias do mundo possuem projeções positivas de PIB para 2024, com destaque para Índia, que mais uma vez apresenta a maior expectativa de crescimento (6,7%). Outro destaque que cabe ser feito diz respeito a Rússia, que mesmo em meio a continuidade do conflito com a Ucrânia manteve uma expectativa de crescimento muito próxima à taxa efetivada em 2023 (3,7%).</w:t>
      </w:r>
    </w:p>
    <w:p w:rsidR="00FE132C" w:rsidRPr="00FE132C" w:rsidRDefault="00FE132C" w:rsidP="00D93366">
      <w:pPr>
        <w:spacing w:after="120"/>
        <w:ind w:firstLine="709"/>
        <w:jc w:val="both"/>
        <w:rPr>
          <w:rFonts w:cs="Tahoma"/>
          <w:szCs w:val="20"/>
        </w:rPr>
      </w:pPr>
      <w:r w:rsidRPr="00FE132C">
        <w:rPr>
          <w:rFonts w:cs="Tahoma"/>
          <w:szCs w:val="20"/>
        </w:rPr>
        <w:t>Já no que se refere especificamente ao Brasil, o arrefecimento da inflação provocado pelo longo período de contracionismo monetário possibilitou ao Banco Central dar sequência ao ciclo de queda da Selic, sendo procedidos quatro novos cortes do indicador entre os meses de janeiro a maio de 2024, conduzindo a taxa de 12,25% para 10,5% ao ano. Mais adiante, em linha com o monitoramento de riscos preconizado pela OCDE, o Comitê de Política Monetária (COPOM) manteve a taxa inalterada por três reuniões consecutivas, elevando novamente o indicador em 0,25 ponto percentual na decisão de setembro, com o mercado apostando em dois novos aumentos de 0,5 ponto percentual cada até o final do ano, o que elevaria a Selic para 11,75%.</w:t>
      </w:r>
    </w:p>
    <w:p w:rsidR="00FE132C" w:rsidRPr="00FE132C" w:rsidRDefault="000151D3" w:rsidP="00D93366">
      <w:pPr>
        <w:spacing w:after="120"/>
        <w:ind w:firstLine="709"/>
        <w:jc w:val="both"/>
        <w:rPr>
          <w:rFonts w:cs="Tahoma"/>
          <w:szCs w:val="20"/>
        </w:rPr>
      </w:pPr>
      <w:r>
        <w:rPr>
          <w:rFonts w:cs="Tahoma"/>
          <w:szCs w:val="20"/>
        </w:rPr>
        <w:t>Apesar d</w:t>
      </w:r>
      <w:r w:rsidR="00FE132C" w:rsidRPr="00FE132C">
        <w:rPr>
          <w:rFonts w:cs="Tahoma"/>
          <w:szCs w:val="20"/>
        </w:rPr>
        <w:t>o movimento de alta dos juros previsto para o final do presente exercício, o ciclo de queda ocorrido ao longo do ano foi suficiente para animar o mercado acerca das expectativas para o biênio, sendo projetadas pela OCDE expansões da atividade econômica de 2,9% para 2024 e de 2,6% para 2025. Importante registrar que</w:t>
      </w:r>
      <w:r>
        <w:rPr>
          <w:rFonts w:cs="Tahoma"/>
          <w:szCs w:val="20"/>
        </w:rPr>
        <w:t>,</w:t>
      </w:r>
      <w:r w:rsidR="00FE132C" w:rsidRPr="00FE132C">
        <w:rPr>
          <w:rFonts w:cs="Tahoma"/>
          <w:szCs w:val="20"/>
        </w:rPr>
        <w:t xml:space="preserve"> na publicação de maio</w:t>
      </w:r>
      <w:r>
        <w:rPr>
          <w:rFonts w:cs="Tahoma"/>
          <w:szCs w:val="20"/>
        </w:rPr>
        <w:t>,</w:t>
      </w:r>
      <w:r w:rsidR="00FE132C" w:rsidRPr="00FE132C">
        <w:rPr>
          <w:rFonts w:cs="Tahoma"/>
          <w:szCs w:val="20"/>
        </w:rPr>
        <w:t xml:space="preserve"> a previsão de crescimento da OCDE para o Brasil era de apenas 1,9%.</w:t>
      </w:r>
    </w:p>
    <w:p w:rsidR="00FE132C" w:rsidRPr="00FE132C" w:rsidRDefault="00FE132C" w:rsidP="00D93366">
      <w:pPr>
        <w:spacing w:after="120"/>
        <w:ind w:firstLine="709"/>
        <w:jc w:val="both"/>
        <w:rPr>
          <w:rFonts w:cs="Tahoma"/>
          <w:szCs w:val="20"/>
        </w:rPr>
      </w:pPr>
      <w:r w:rsidRPr="00FE132C">
        <w:rPr>
          <w:rFonts w:cs="Tahoma"/>
          <w:szCs w:val="20"/>
        </w:rPr>
        <w:t>O forte crescimento da demanda interna tem impulsionado a economia do país em 2024, aumentando a resiliência da mesma em relação à Selic, que</w:t>
      </w:r>
      <w:r w:rsidR="000151D3">
        <w:rPr>
          <w:rFonts w:cs="Tahoma"/>
          <w:szCs w:val="20"/>
        </w:rPr>
        <w:t>,</w:t>
      </w:r>
      <w:r w:rsidRPr="00FE132C">
        <w:rPr>
          <w:rFonts w:cs="Tahoma"/>
          <w:szCs w:val="20"/>
        </w:rPr>
        <w:t xml:space="preserve"> mesmo tendo previsão de alta para os próximos meses</w:t>
      </w:r>
      <w:r w:rsidR="000151D3">
        <w:rPr>
          <w:rFonts w:cs="Tahoma"/>
          <w:szCs w:val="20"/>
        </w:rPr>
        <w:t>,</w:t>
      </w:r>
      <w:r w:rsidRPr="00FE132C">
        <w:rPr>
          <w:rFonts w:cs="Tahoma"/>
          <w:szCs w:val="20"/>
        </w:rPr>
        <w:t xml:space="preserve"> parece ter </w:t>
      </w:r>
      <w:r w:rsidR="000151D3">
        <w:rPr>
          <w:rFonts w:cs="Tahoma"/>
          <w:szCs w:val="20"/>
        </w:rPr>
        <w:t xml:space="preserve">tido </w:t>
      </w:r>
      <w:r w:rsidRPr="00FE132C">
        <w:rPr>
          <w:rFonts w:cs="Tahoma"/>
          <w:szCs w:val="20"/>
        </w:rPr>
        <w:t xml:space="preserve">pouco impactado </w:t>
      </w:r>
      <w:r w:rsidR="000151D3">
        <w:rPr>
          <w:rFonts w:cs="Tahoma"/>
          <w:szCs w:val="20"/>
        </w:rPr>
        <w:t xml:space="preserve">sobre </w:t>
      </w:r>
      <w:r w:rsidRPr="00FE132C">
        <w:rPr>
          <w:rFonts w:cs="Tahoma"/>
          <w:szCs w:val="20"/>
        </w:rPr>
        <w:t xml:space="preserve">as estimativas de expansão da atividade econômica. Além do desempenho positivo do PIB verificado nos últimos trimestres, os números do desemprego e da utilização da capacidade instalada na indústria também denotam o bom momento da economia brasileira no ano. Todavia, o aumento recente das pressões inflacionárias, impulsionado, dentre outros fatores, pela desvalorização do real frente ao dólar, mantem o alerta ligado quanto à necessidade de novos apertos monetários, o que tornaria a elevar os juros e por conseguinte prejudicar as estimativas de crescimento econômico. </w:t>
      </w:r>
    </w:p>
    <w:p w:rsidR="00FE132C" w:rsidRPr="00FE132C" w:rsidRDefault="00FE132C" w:rsidP="00D93366">
      <w:pPr>
        <w:spacing w:after="120"/>
        <w:ind w:firstLine="709"/>
        <w:jc w:val="both"/>
        <w:rPr>
          <w:rFonts w:cs="Tahoma"/>
          <w:szCs w:val="20"/>
        </w:rPr>
      </w:pPr>
      <w:r w:rsidRPr="00FE132C">
        <w:rPr>
          <w:rFonts w:cs="Tahoma"/>
          <w:szCs w:val="20"/>
        </w:rPr>
        <w:t>Sob o ponto de vista fiscal, o Brasil segue acumulando déficits primários, ou seja, despesas superiores às receitas</w:t>
      </w:r>
      <w:r w:rsidR="000151D3">
        <w:rPr>
          <w:rFonts w:cs="Tahoma"/>
          <w:szCs w:val="20"/>
        </w:rPr>
        <w:t>,</w:t>
      </w:r>
      <w:r w:rsidRPr="00FE132C">
        <w:rPr>
          <w:rFonts w:cs="Tahoma"/>
          <w:szCs w:val="20"/>
        </w:rPr>
        <w:t xml:space="preserve"> sem levar em consideração os chamados juros da dívida. Após fechar 2023 com um déficit primário da ordem de 2,29% do PIB, o país já acumula nos primeiros nove meses de 2024 novo prejuízo de 1,14% do PIB, sinalizando um contínuo descontrole das contas públicas. Tal cenário aumenta a percepção de risco do investidor estrangeiro, que ao longo deste ano</w:t>
      </w:r>
      <w:r w:rsidR="000151D3">
        <w:rPr>
          <w:rFonts w:cs="Tahoma"/>
          <w:szCs w:val="20"/>
        </w:rPr>
        <w:t>,</w:t>
      </w:r>
      <w:r w:rsidRPr="00FE132C">
        <w:rPr>
          <w:rFonts w:cs="Tahoma"/>
          <w:szCs w:val="20"/>
        </w:rPr>
        <w:t xml:space="preserve"> tem sistematicamente retirado mais do que aportado recursos no Brasil, incentivando o movimento de </w:t>
      </w:r>
      <w:r w:rsidRPr="00FE132C">
        <w:rPr>
          <w:rFonts w:cs="Tahoma"/>
          <w:szCs w:val="20"/>
        </w:rPr>
        <w:lastRenderedPageBreak/>
        <w:t>desvalorização cambial percebido nos últimos meses. No geral, déficits públicos em sequência prejudicam a ancoragem das expectativas inflacionárias, além de requererem prêmios (juros) cada vez mais altos nos títulos emitidos pelo governo, dificultando o já complicado processo de redução da Selic.</w:t>
      </w:r>
    </w:p>
    <w:p w:rsidR="00FE132C" w:rsidRDefault="00FE132C" w:rsidP="00D93366">
      <w:pPr>
        <w:spacing w:after="120"/>
        <w:ind w:firstLine="709"/>
        <w:jc w:val="both"/>
        <w:rPr>
          <w:rFonts w:cs="Tahoma"/>
          <w:szCs w:val="20"/>
        </w:rPr>
      </w:pPr>
      <w:r w:rsidRPr="00FE132C">
        <w:rPr>
          <w:rFonts w:cs="Tahoma"/>
          <w:szCs w:val="20"/>
        </w:rPr>
        <w:t>Importante registrar que entre os anos de 2014 a 2024 o Brasil registrou resultado primário positivo apenas em duas oportunidades, mais especificamente nos anos de 2021 (0,73% do PIB) e 2022 (1,28% do PIB).</w:t>
      </w:r>
    </w:p>
    <w:p w:rsidR="00FE132C" w:rsidRDefault="00FE132C" w:rsidP="00FE132C">
      <w:pPr>
        <w:spacing w:after="120"/>
        <w:ind w:firstLine="709"/>
        <w:rPr>
          <w:rFonts w:cs="Tahoma"/>
          <w:szCs w:val="20"/>
        </w:rPr>
      </w:pPr>
      <w:r w:rsidRPr="002150E6">
        <w:rPr>
          <w:noProof/>
        </w:rPr>
        <w:drawing>
          <wp:inline distT="0" distB="0" distL="0" distR="0">
            <wp:extent cx="4683967" cy="2355046"/>
            <wp:effectExtent l="0" t="0" r="21590" b="26670"/>
            <wp:docPr id="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FE132C" w:rsidRPr="0054000D" w:rsidRDefault="00FE132C" w:rsidP="00FE132C">
      <w:pPr>
        <w:spacing w:after="0" w:line="240" w:lineRule="auto"/>
        <w:ind w:firstLine="709"/>
        <w:rPr>
          <w:rFonts w:ascii="Tahoma" w:hAnsi="Tahoma" w:cs="Tahoma"/>
          <w:b/>
          <w:bCs/>
          <w:sz w:val="14"/>
          <w:szCs w:val="14"/>
        </w:rPr>
      </w:pPr>
      <w:r w:rsidRPr="0054000D">
        <w:rPr>
          <w:rFonts w:ascii="Tahoma" w:hAnsi="Tahoma" w:cs="Tahoma"/>
          <w:b/>
          <w:bCs/>
          <w:sz w:val="14"/>
          <w:szCs w:val="14"/>
        </w:rPr>
        <w:t>Gráfico 1 Superávit Primário, Juros Nominais e Déficit Público</w:t>
      </w:r>
    </w:p>
    <w:p w:rsidR="00FE132C" w:rsidRPr="0054000D" w:rsidRDefault="00FE132C" w:rsidP="00FE132C">
      <w:pPr>
        <w:spacing w:after="0" w:line="240" w:lineRule="auto"/>
        <w:ind w:firstLine="709"/>
        <w:jc w:val="both"/>
        <w:rPr>
          <w:rFonts w:ascii="Tahoma" w:hAnsi="Tahoma" w:cs="Tahoma"/>
          <w:sz w:val="12"/>
          <w:szCs w:val="14"/>
        </w:rPr>
      </w:pPr>
      <w:r w:rsidRPr="0054000D">
        <w:rPr>
          <w:rFonts w:ascii="Tahoma" w:hAnsi="Tahoma" w:cs="Tahoma"/>
          <w:sz w:val="12"/>
          <w:szCs w:val="14"/>
        </w:rPr>
        <w:t>Fonte: Secretaria do Tesouro Nacional</w:t>
      </w:r>
    </w:p>
    <w:p w:rsidR="00FE132C" w:rsidRPr="0054000D" w:rsidRDefault="00FE132C" w:rsidP="00FE132C">
      <w:pPr>
        <w:spacing w:after="0" w:line="240" w:lineRule="auto"/>
        <w:ind w:firstLine="709"/>
        <w:jc w:val="both"/>
        <w:rPr>
          <w:rFonts w:ascii="Tahoma" w:hAnsi="Tahoma" w:cs="Tahoma"/>
          <w:sz w:val="12"/>
          <w:szCs w:val="14"/>
        </w:rPr>
      </w:pPr>
      <w:r w:rsidRPr="0054000D">
        <w:rPr>
          <w:rFonts w:ascii="Tahoma" w:hAnsi="Tahoma" w:cs="Tahoma"/>
          <w:sz w:val="12"/>
          <w:szCs w:val="14"/>
        </w:rPr>
        <w:t>OBS: Os dados de 2024 referem-se ao acumulado entre os meses de janeiro a setembro</w:t>
      </w:r>
    </w:p>
    <w:p w:rsidR="000151D3" w:rsidRDefault="000151D3" w:rsidP="00D93366">
      <w:pPr>
        <w:spacing w:after="120"/>
        <w:ind w:firstLine="709"/>
        <w:jc w:val="both"/>
        <w:rPr>
          <w:rFonts w:cs="Tahoma"/>
          <w:szCs w:val="20"/>
        </w:rPr>
      </w:pPr>
    </w:p>
    <w:p w:rsidR="00FE132C" w:rsidRPr="00FE132C" w:rsidRDefault="00FE132C" w:rsidP="00D93366">
      <w:pPr>
        <w:spacing w:after="120"/>
        <w:ind w:firstLine="709"/>
        <w:jc w:val="both"/>
        <w:rPr>
          <w:rFonts w:cs="Tahoma"/>
          <w:szCs w:val="20"/>
        </w:rPr>
      </w:pPr>
      <w:r w:rsidRPr="00FE132C">
        <w:rPr>
          <w:rFonts w:cs="Tahoma"/>
          <w:szCs w:val="20"/>
        </w:rPr>
        <w:t xml:space="preserve">As estimativas mais recentes do mercado indicam um déficit primário até dezembro de 2024 superior a R$ 66 bilhões, ou seja, bem acima da meta do novo arcabouço fiscal, cuja lei orçamentária previu um pequeno superávit de R$ 2,8 bilhões dentro da lógica de um “resultado neutro”. A previsão do mercado também supera com folga a última estimativa oficial do governo, cuja divulgação ocorrida em julho sinalizava um déficit de cerca de R$ 29 bilhões, correspondente a 0,25% do PIB, ou seja, no limite inferior da meta. Para 2025 as previsões são ainda mais pessimistas, com o mercado prevendo um déficit primário da ordem de R$ 93 bilhões. Já no que tange à dívida bruta do governo geral (DBGG), indicador que reflete o estoque de endividamento público, a projeção do mercado é que ele atinja a marca de 77,91% do PIB ao final de 2024 e de 80,61% em 2025, reforçando </w:t>
      </w:r>
      <w:r w:rsidR="000151D3">
        <w:rPr>
          <w:rFonts w:cs="Tahoma"/>
          <w:szCs w:val="20"/>
        </w:rPr>
        <w:t>a</w:t>
      </w:r>
      <w:r w:rsidRPr="00FE132C">
        <w:rPr>
          <w:rFonts w:cs="Tahoma"/>
          <w:szCs w:val="20"/>
        </w:rPr>
        <w:t>s duvidas quanto à efetividade do novo pacto fiscal, tanto no que tange ao corte de gastos</w:t>
      </w:r>
      <w:r w:rsidR="000151D3">
        <w:rPr>
          <w:rFonts w:cs="Tahoma"/>
          <w:szCs w:val="20"/>
        </w:rPr>
        <w:t xml:space="preserve"> quanto</w:t>
      </w:r>
      <w:r w:rsidRPr="00FE132C">
        <w:rPr>
          <w:rFonts w:cs="Tahoma"/>
          <w:szCs w:val="20"/>
        </w:rPr>
        <w:t xml:space="preserve"> ao aumento da arrecadação.</w:t>
      </w:r>
    </w:p>
    <w:p w:rsidR="00FE132C" w:rsidRDefault="000151D3" w:rsidP="00D93366">
      <w:pPr>
        <w:spacing w:after="120"/>
        <w:ind w:firstLine="709"/>
        <w:jc w:val="both"/>
        <w:rPr>
          <w:rFonts w:cs="Tahoma"/>
          <w:szCs w:val="20"/>
        </w:rPr>
      </w:pPr>
      <w:r>
        <w:rPr>
          <w:rFonts w:cs="Tahoma"/>
          <w:szCs w:val="20"/>
        </w:rPr>
        <w:t>A</w:t>
      </w:r>
      <w:r w:rsidR="00FE132C" w:rsidRPr="00FE132C">
        <w:rPr>
          <w:rFonts w:cs="Tahoma"/>
          <w:szCs w:val="20"/>
        </w:rPr>
        <w:t xml:space="preserve"> medida que a expectativa </w:t>
      </w:r>
      <w:r>
        <w:rPr>
          <w:rFonts w:cs="Tahoma"/>
          <w:szCs w:val="20"/>
        </w:rPr>
        <w:t>de</w:t>
      </w:r>
      <w:r w:rsidR="00FE132C" w:rsidRPr="00FE132C">
        <w:rPr>
          <w:rFonts w:cs="Tahoma"/>
          <w:szCs w:val="20"/>
        </w:rPr>
        <w:t xml:space="preserve"> redução da Selic já havia sido em boa parte precificada ao longo de 2023</w:t>
      </w:r>
      <w:r>
        <w:rPr>
          <w:rFonts w:cs="Tahoma"/>
          <w:szCs w:val="20"/>
        </w:rPr>
        <w:t>,</w:t>
      </w:r>
      <w:r w:rsidR="00FE132C" w:rsidRPr="00FE132C">
        <w:rPr>
          <w:rFonts w:cs="Tahoma"/>
          <w:szCs w:val="20"/>
        </w:rPr>
        <w:t xml:space="preserve"> e </w:t>
      </w:r>
      <w:r>
        <w:rPr>
          <w:rFonts w:cs="Tahoma"/>
          <w:szCs w:val="20"/>
        </w:rPr>
        <w:t xml:space="preserve">considerando </w:t>
      </w:r>
      <w:r w:rsidR="00FE132C" w:rsidRPr="00FE132C">
        <w:rPr>
          <w:rFonts w:cs="Tahoma"/>
          <w:szCs w:val="20"/>
        </w:rPr>
        <w:t xml:space="preserve">a estagnação da taxa seguida de novos aumentos no segundo semestre desse ano, os títulos de maior prazo registraram menor procura </w:t>
      </w:r>
      <w:r>
        <w:rPr>
          <w:rFonts w:cs="Tahoma"/>
          <w:szCs w:val="20"/>
        </w:rPr>
        <w:t>em comparação às</w:t>
      </w:r>
      <w:r w:rsidR="00FE132C" w:rsidRPr="00FE132C">
        <w:rPr>
          <w:rFonts w:cs="Tahoma"/>
          <w:szCs w:val="20"/>
        </w:rPr>
        <w:t xml:space="preserve"> opções de prazos mais curtos e, por conseguinte, menores retornos. Soma-se a isso a referida situação fiscal do país, que eleva a percepção de risco do investidor tornando preferível as carteiras atreladas as opções de menores prazos. Assim, diferentemente de 2023, com exceção do IMA-S, subíndice que sinaliza as opções de curtíssimo prazo atreladas à variação diária da Selic, todos os demais indicadores IMA estão abaixo da meta atuarial, que em regra correspondem à variação do IPCA acrescida de um spread de 6% ao ano.</w:t>
      </w:r>
    </w:p>
    <w:p w:rsidR="00A3106D" w:rsidRDefault="00A3106D" w:rsidP="00A3106D">
      <w:pPr>
        <w:spacing w:after="0" w:line="240" w:lineRule="auto"/>
        <w:rPr>
          <w:rFonts w:ascii="Tahoma" w:hAnsi="Tahoma" w:cs="Tahoma"/>
          <w:b/>
          <w:bCs/>
          <w:sz w:val="18"/>
          <w:szCs w:val="18"/>
        </w:rPr>
      </w:pPr>
      <w:r w:rsidRPr="00A3106D">
        <w:rPr>
          <w:noProof/>
        </w:rPr>
        <w:lastRenderedPageBreak/>
        <w:drawing>
          <wp:inline distT="0" distB="0" distL="0" distR="0">
            <wp:extent cx="5010150" cy="2165357"/>
            <wp:effectExtent l="0" t="0" r="0" b="6350"/>
            <wp:docPr id="228369789"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41622" cy="2178959"/>
                    </a:xfrm>
                    <a:prstGeom prst="rect">
                      <a:avLst/>
                    </a:prstGeom>
                    <a:noFill/>
                    <a:ln>
                      <a:noFill/>
                    </a:ln>
                  </pic:spPr>
                </pic:pic>
              </a:graphicData>
            </a:graphic>
          </wp:inline>
        </w:drawing>
      </w:r>
    </w:p>
    <w:p w:rsidR="00FE132C" w:rsidRPr="0054000D" w:rsidRDefault="00FE132C" w:rsidP="00A3106D">
      <w:pPr>
        <w:spacing w:after="0" w:line="240" w:lineRule="auto"/>
        <w:rPr>
          <w:rFonts w:ascii="Tahoma" w:hAnsi="Tahoma" w:cs="Tahoma"/>
          <w:b/>
          <w:bCs/>
          <w:sz w:val="14"/>
          <w:szCs w:val="14"/>
        </w:rPr>
      </w:pPr>
      <w:r w:rsidRPr="0054000D">
        <w:rPr>
          <w:rFonts w:ascii="Tahoma" w:hAnsi="Tahoma" w:cs="Tahoma"/>
          <w:b/>
          <w:bCs/>
          <w:sz w:val="14"/>
          <w:szCs w:val="14"/>
        </w:rPr>
        <w:t>Tabela 1: Indicadores Anbima x Meta Atuarial</w:t>
      </w:r>
    </w:p>
    <w:p w:rsidR="00FE132C" w:rsidRPr="0054000D" w:rsidRDefault="00FE132C" w:rsidP="00A3106D">
      <w:pPr>
        <w:spacing w:after="0" w:line="240" w:lineRule="auto"/>
        <w:jc w:val="both"/>
        <w:rPr>
          <w:rFonts w:ascii="Tahoma" w:hAnsi="Tahoma" w:cs="Tahoma"/>
          <w:sz w:val="12"/>
          <w:szCs w:val="14"/>
        </w:rPr>
      </w:pPr>
      <w:r w:rsidRPr="0054000D">
        <w:rPr>
          <w:rFonts w:ascii="Tahoma" w:hAnsi="Tahoma" w:cs="Tahoma"/>
          <w:sz w:val="12"/>
          <w:szCs w:val="14"/>
        </w:rPr>
        <w:t>Fonte: Anbima</w:t>
      </w:r>
    </w:p>
    <w:p w:rsidR="00FE132C" w:rsidRPr="0054000D" w:rsidRDefault="00FE132C" w:rsidP="00A3106D">
      <w:pPr>
        <w:spacing w:after="120"/>
        <w:rPr>
          <w:rFonts w:cs="Tahoma"/>
          <w:sz w:val="18"/>
          <w:szCs w:val="16"/>
        </w:rPr>
      </w:pPr>
      <w:r w:rsidRPr="0054000D">
        <w:rPr>
          <w:rFonts w:ascii="Tahoma" w:hAnsi="Tahoma" w:cs="Tahoma"/>
          <w:sz w:val="12"/>
          <w:szCs w:val="14"/>
        </w:rPr>
        <w:t>Janeiro a Outubro de 2024 – IPCA de outubro estimado com base no IPCA-15</w:t>
      </w:r>
    </w:p>
    <w:p w:rsidR="00FE132C" w:rsidRPr="00FE132C" w:rsidRDefault="00FE132C" w:rsidP="00D93366">
      <w:pPr>
        <w:spacing w:after="120"/>
        <w:ind w:firstLine="709"/>
        <w:jc w:val="both"/>
        <w:rPr>
          <w:rFonts w:cs="Tahoma"/>
          <w:szCs w:val="20"/>
        </w:rPr>
      </w:pPr>
      <w:r w:rsidRPr="00FE132C">
        <w:rPr>
          <w:rFonts w:cs="Tahoma"/>
          <w:szCs w:val="20"/>
        </w:rPr>
        <w:t>Em linhas gerais, conclui-se que o Brasil mais uma vez terá como principal desafio para 2025 o ajuste das contas públicas, conciliando a adoção de pol</w:t>
      </w:r>
      <w:r w:rsidR="00A3106D">
        <w:rPr>
          <w:rFonts w:cs="Tahoma"/>
          <w:szCs w:val="20"/>
        </w:rPr>
        <w:t>í</w:t>
      </w:r>
      <w:r w:rsidRPr="00FE132C">
        <w:rPr>
          <w:rFonts w:cs="Tahoma"/>
          <w:szCs w:val="20"/>
        </w:rPr>
        <w:t>ticas que visem o crescimento econômico, mas que não extrapolem a utilização da já combalida via fiscal. Importante registrar a calamidade pública decorrente das enchentes no Estado do Rio Grande do Sul, que também contribuiu com a elevação do déficit primário inicialmente previsto, seja pela não cobrança temporária da d</w:t>
      </w:r>
      <w:r w:rsidR="00A3106D">
        <w:rPr>
          <w:rFonts w:cs="Tahoma"/>
          <w:szCs w:val="20"/>
        </w:rPr>
        <w:t>í</w:t>
      </w:r>
      <w:r w:rsidRPr="00FE132C">
        <w:rPr>
          <w:rFonts w:cs="Tahoma"/>
          <w:szCs w:val="20"/>
        </w:rPr>
        <w:t>vida do Estado com a União</w:t>
      </w:r>
      <w:r w:rsidR="00A3106D">
        <w:rPr>
          <w:rFonts w:cs="Tahoma"/>
          <w:szCs w:val="20"/>
        </w:rPr>
        <w:t>,</w:t>
      </w:r>
      <w:r w:rsidRPr="00FE132C">
        <w:rPr>
          <w:rFonts w:cs="Tahoma"/>
          <w:szCs w:val="20"/>
        </w:rPr>
        <w:t xml:space="preserve"> seja pelas inversões e demais repasses realizados pelo Governo Federal. A propósito, a preocupação com a via fiscal é inclusive referendada na publicação da OCDE e de maneira não restrita ao Brasil. Isso porque, passada a pandemia e todos os ajustes macroeconômicos realizados ao redor do mundo, a percepção é que as nações precisam se reorganizar do ponto de vista fiscal, ao passo de estarem preparadas para eventuais percalços que venham a ensejar novas intervenções estatais, sobretudo a partir das questões climáticas, cujas adversidades têm se materializado com cada vez mais frequência.</w:t>
      </w:r>
    </w:p>
    <w:p w:rsidR="00FE132C" w:rsidRDefault="00FE132C" w:rsidP="00D93366">
      <w:pPr>
        <w:spacing w:after="120"/>
        <w:ind w:firstLine="709"/>
        <w:jc w:val="both"/>
        <w:rPr>
          <w:rFonts w:cs="Tahoma"/>
          <w:szCs w:val="20"/>
        </w:rPr>
      </w:pPr>
      <w:r w:rsidRPr="00FE132C">
        <w:rPr>
          <w:rFonts w:cs="Tahoma"/>
          <w:szCs w:val="20"/>
        </w:rPr>
        <w:t>A expectativa é que o país consiga fomentar o PIB preferencialmente</w:t>
      </w:r>
      <w:r w:rsidR="00A3106D">
        <w:rPr>
          <w:rFonts w:cs="Tahoma"/>
          <w:szCs w:val="20"/>
        </w:rPr>
        <w:t>,</w:t>
      </w:r>
      <w:r w:rsidRPr="00FE132C">
        <w:rPr>
          <w:rFonts w:cs="Tahoma"/>
          <w:szCs w:val="20"/>
        </w:rPr>
        <w:t xml:space="preserve"> pela via monetária, contudo, sempre atento às pressões inflacionárias, para que as reduções da Selic não possuam efeitos colaterais superiores aos seus benefícios intrínsecos. Além de facilitar o crédito e incentivar o consumo das famílias, a redução da Selic também alivia o custo de rolagem da d</w:t>
      </w:r>
      <w:r w:rsidR="00A3106D">
        <w:rPr>
          <w:rFonts w:cs="Tahoma"/>
          <w:szCs w:val="20"/>
        </w:rPr>
        <w:t>í</w:t>
      </w:r>
      <w:r w:rsidRPr="00FE132C">
        <w:rPr>
          <w:rFonts w:cs="Tahoma"/>
          <w:szCs w:val="20"/>
        </w:rPr>
        <w:t>vida pública, diminuindo a percepção de risco do investidor e corroborando uma melhor relação cambial. Nesse sentido, ressalta-se a tendência de manutenção de juros em queda</w:t>
      </w:r>
      <w:r w:rsidR="00A3106D">
        <w:rPr>
          <w:rFonts w:cs="Tahoma"/>
          <w:szCs w:val="20"/>
        </w:rPr>
        <w:t>,</w:t>
      </w:r>
      <w:r w:rsidRPr="00FE132C">
        <w:rPr>
          <w:rFonts w:cs="Tahoma"/>
          <w:szCs w:val="20"/>
        </w:rPr>
        <w:t xml:space="preserve"> tanto nos EUA como na Zona do Euro, haja vista as previsões otimistas quanto à inflação, o que reduz o risco de evasão de recursos nas economias emergentes.</w:t>
      </w:r>
    </w:p>
    <w:p w:rsidR="00FE132C" w:rsidRPr="00FE132C" w:rsidRDefault="00FE132C" w:rsidP="000C021C">
      <w:pPr>
        <w:pStyle w:val="Ttulo2"/>
        <w:rPr>
          <w:rFonts w:ascii="Tahoma" w:hAnsi="Tahoma" w:cs="Tahoma"/>
          <w:b/>
          <w:sz w:val="20"/>
          <w:szCs w:val="20"/>
        </w:rPr>
      </w:pPr>
      <w:bookmarkStart w:id="15" w:name="_Toc181778163"/>
      <w:r w:rsidRPr="000C021C">
        <w:rPr>
          <w:rFonts w:ascii="Tahoma" w:hAnsi="Tahoma" w:cs="Tahoma"/>
          <w:b/>
          <w:color w:val="auto"/>
          <w:sz w:val="20"/>
          <w:szCs w:val="20"/>
        </w:rPr>
        <w:t>Economia Mundial e taxa de câmbio</w:t>
      </w:r>
      <w:bookmarkEnd w:id="15"/>
    </w:p>
    <w:p w:rsidR="00FE132C" w:rsidRPr="00FE132C" w:rsidRDefault="00FE132C" w:rsidP="00D93366">
      <w:pPr>
        <w:spacing w:after="120"/>
        <w:ind w:firstLine="709"/>
        <w:jc w:val="both"/>
        <w:rPr>
          <w:rFonts w:cs="Tahoma"/>
          <w:szCs w:val="20"/>
        </w:rPr>
      </w:pPr>
      <w:r w:rsidRPr="00FE132C">
        <w:rPr>
          <w:rFonts w:cs="Tahoma"/>
          <w:szCs w:val="20"/>
        </w:rPr>
        <w:t>Em linha com a OCDE, o Fundo Monetário Internacional (FMI), por intermédio do relatório “Perspectivas Econômicas Globais” divulgado em outubro, indica uma expansão do PIB mundial de 3,2% para 2024. Da mesma forma, também indica idêntica taxa de crescimento para 2025, sinalizando, mais uma vez</w:t>
      </w:r>
      <w:r w:rsidR="00A3106D">
        <w:rPr>
          <w:rFonts w:cs="Tahoma"/>
          <w:szCs w:val="20"/>
        </w:rPr>
        <w:t>,</w:t>
      </w:r>
      <w:r w:rsidRPr="00FE132C">
        <w:rPr>
          <w:rFonts w:cs="Tahoma"/>
          <w:szCs w:val="20"/>
        </w:rPr>
        <w:t xml:space="preserve"> de forma análoga a OCDE, a crença de que a inflação em termos globais está de fato sob controle, com a adoção de pol</w:t>
      </w:r>
      <w:r w:rsidR="00A3106D">
        <w:rPr>
          <w:rFonts w:cs="Tahoma"/>
          <w:szCs w:val="20"/>
        </w:rPr>
        <w:t>í</w:t>
      </w:r>
      <w:r w:rsidRPr="00FE132C">
        <w:rPr>
          <w:rFonts w:cs="Tahoma"/>
          <w:szCs w:val="20"/>
        </w:rPr>
        <w:t>ticas monetárias menos restritivas constituindo-se em tendência a médio e longo prazos.</w:t>
      </w:r>
    </w:p>
    <w:p w:rsidR="00FE132C" w:rsidRPr="00FE132C" w:rsidRDefault="00FE132C" w:rsidP="00D93366">
      <w:pPr>
        <w:spacing w:after="120"/>
        <w:ind w:firstLine="709"/>
        <w:jc w:val="both"/>
        <w:rPr>
          <w:rFonts w:cs="Tahoma"/>
          <w:szCs w:val="20"/>
        </w:rPr>
      </w:pPr>
      <w:r w:rsidRPr="00FE132C">
        <w:rPr>
          <w:rFonts w:cs="Tahoma"/>
          <w:szCs w:val="20"/>
        </w:rPr>
        <w:t xml:space="preserve">No geral, o relatório do FMI aponta relativa estabilidade econômica até o final de 2025, sendo dado papel de destaque para economia </w:t>
      </w:r>
      <w:r w:rsidR="00A3106D">
        <w:rPr>
          <w:rFonts w:cs="Tahoma"/>
          <w:szCs w:val="20"/>
        </w:rPr>
        <w:t>N</w:t>
      </w:r>
      <w:r w:rsidRPr="00FE132C">
        <w:rPr>
          <w:rFonts w:cs="Tahoma"/>
          <w:szCs w:val="20"/>
        </w:rPr>
        <w:t xml:space="preserve">orte </w:t>
      </w:r>
      <w:r w:rsidR="00A3106D">
        <w:rPr>
          <w:rFonts w:cs="Tahoma"/>
          <w:szCs w:val="20"/>
        </w:rPr>
        <w:t>A</w:t>
      </w:r>
      <w:r w:rsidRPr="00FE132C">
        <w:rPr>
          <w:rFonts w:cs="Tahoma"/>
          <w:szCs w:val="20"/>
        </w:rPr>
        <w:t xml:space="preserve">mericana, cuja resiliência do mercado de </w:t>
      </w:r>
      <w:r w:rsidRPr="00FE132C">
        <w:rPr>
          <w:rFonts w:cs="Tahoma"/>
          <w:szCs w:val="20"/>
        </w:rPr>
        <w:lastRenderedPageBreak/>
        <w:t>trabalho e do consumo das famílias caracterizou um chamado “pouso suave” da economia doméstica, que em meio a pol</w:t>
      </w:r>
      <w:r w:rsidR="00A3106D">
        <w:rPr>
          <w:rFonts w:cs="Tahoma"/>
          <w:szCs w:val="20"/>
        </w:rPr>
        <w:t>í</w:t>
      </w:r>
      <w:r w:rsidRPr="00FE132C">
        <w:rPr>
          <w:rFonts w:cs="Tahoma"/>
          <w:szCs w:val="20"/>
        </w:rPr>
        <w:t xml:space="preserve">tica monetária contracionista adotada pelo FED como principal mecanismo de combate à inflação, nunca deixou de registrar crescimento. </w:t>
      </w:r>
    </w:p>
    <w:p w:rsidR="00FE132C" w:rsidRPr="00FE132C" w:rsidRDefault="00FE132C" w:rsidP="00D93366">
      <w:pPr>
        <w:spacing w:after="120"/>
        <w:ind w:firstLine="709"/>
        <w:jc w:val="both"/>
        <w:rPr>
          <w:rFonts w:cs="Tahoma"/>
          <w:szCs w:val="20"/>
        </w:rPr>
      </w:pPr>
      <w:r w:rsidRPr="00FE132C">
        <w:rPr>
          <w:rFonts w:cs="Tahoma"/>
          <w:szCs w:val="20"/>
        </w:rPr>
        <w:t>Assim, em linha com a expectativa de continuidade de queda dos juros norte americanos, a tendência é de expansão da atividade econômica, sendo previstos crescimento de 2,8% e 2,2% para os anos de 2024 e 2025, respectivamente. A incerteza maior quanto à 2025 diz respeito às eleições presidenciais do país, cujos recentes debates tem levantado a possibilidade</w:t>
      </w:r>
      <w:r w:rsidR="00A3106D">
        <w:rPr>
          <w:rFonts w:cs="Tahoma"/>
          <w:szCs w:val="20"/>
        </w:rPr>
        <w:t xml:space="preserve"> de</w:t>
      </w:r>
      <w:r w:rsidRPr="00FE132C">
        <w:rPr>
          <w:rFonts w:cs="Tahoma"/>
          <w:szCs w:val="20"/>
        </w:rPr>
        <w:t xml:space="preserve"> maiores conflitos comercias com a China, como por exemplo, o estabelecimento de barreiras tarifárias, que no limite, trariam prejuízos a ambas as economias. </w:t>
      </w:r>
    </w:p>
    <w:p w:rsidR="00FE132C" w:rsidRPr="00FE132C" w:rsidRDefault="00FE132C" w:rsidP="00D93366">
      <w:pPr>
        <w:spacing w:after="120"/>
        <w:ind w:firstLine="709"/>
        <w:jc w:val="both"/>
        <w:rPr>
          <w:rFonts w:cs="Tahoma"/>
          <w:szCs w:val="20"/>
        </w:rPr>
      </w:pPr>
      <w:r w:rsidRPr="00FE132C">
        <w:rPr>
          <w:rFonts w:cs="Tahoma"/>
          <w:szCs w:val="20"/>
        </w:rPr>
        <w:t xml:space="preserve">Sobre a China, a perspectiva traçada pelo FMI dialoga com a característica central do relatório emitido pela instituição: a ocorrência de crescimentos díspares entre as regiões, que além de reforçarem a liderança momentaneamente atribuída a economia </w:t>
      </w:r>
      <w:r w:rsidR="00A3106D">
        <w:rPr>
          <w:rFonts w:cs="Tahoma"/>
          <w:szCs w:val="20"/>
        </w:rPr>
        <w:t>N</w:t>
      </w:r>
      <w:r w:rsidRPr="00FE132C">
        <w:rPr>
          <w:rFonts w:cs="Tahoma"/>
          <w:szCs w:val="20"/>
        </w:rPr>
        <w:t xml:space="preserve">orte </w:t>
      </w:r>
      <w:r w:rsidR="00A3106D">
        <w:rPr>
          <w:rFonts w:cs="Tahoma"/>
          <w:szCs w:val="20"/>
        </w:rPr>
        <w:t>A</w:t>
      </w:r>
      <w:r w:rsidRPr="00FE132C">
        <w:rPr>
          <w:rFonts w:cs="Tahoma"/>
          <w:szCs w:val="20"/>
        </w:rPr>
        <w:t>mericana, ajudam a explicar porque as previsões globais acabaram não sendo mais otimistas. Novamente</w:t>
      </w:r>
      <w:r w:rsidR="00A3106D">
        <w:rPr>
          <w:rFonts w:cs="Tahoma"/>
          <w:szCs w:val="20"/>
        </w:rPr>
        <w:t>,</w:t>
      </w:r>
      <w:r w:rsidRPr="00FE132C">
        <w:rPr>
          <w:rFonts w:cs="Tahoma"/>
          <w:szCs w:val="20"/>
        </w:rPr>
        <w:t xml:space="preserve"> seguindo a linha da OCDE, o FMI faz referência ao baixo ritmo da atividade doméstica chinesa, cuja forte crise do mercado imobiliário aumentou ainda mais a dependência do setor externo, que por sua vez ainda não confere a estabilidade necessária para fazer das exportações chinesas seu principal carro chefe de crescimento</w:t>
      </w:r>
      <w:r w:rsidR="00A3106D">
        <w:rPr>
          <w:rFonts w:cs="Tahoma"/>
          <w:szCs w:val="20"/>
        </w:rPr>
        <w:t>,</w:t>
      </w:r>
      <w:r w:rsidRPr="00FE132C">
        <w:rPr>
          <w:rFonts w:cs="Tahoma"/>
          <w:szCs w:val="20"/>
        </w:rPr>
        <w:t xml:space="preserve"> como acontecido em anos anteriores.</w:t>
      </w:r>
    </w:p>
    <w:p w:rsidR="00FE132C" w:rsidRPr="00FE132C" w:rsidRDefault="00FE132C" w:rsidP="00D93366">
      <w:pPr>
        <w:spacing w:after="120"/>
        <w:ind w:firstLine="709"/>
        <w:jc w:val="both"/>
        <w:rPr>
          <w:rFonts w:cs="Tahoma"/>
          <w:szCs w:val="20"/>
        </w:rPr>
      </w:pPr>
      <w:r w:rsidRPr="00FE132C">
        <w:rPr>
          <w:rFonts w:cs="Tahoma"/>
          <w:szCs w:val="20"/>
        </w:rPr>
        <w:t>Seguindo a tônica dos comportamentos d</w:t>
      </w:r>
      <w:r w:rsidR="00A3106D">
        <w:rPr>
          <w:rFonts w:cs="Tahoma"/>
          <w:szCs w:val="20"/>
        </w:rPr>
        <w:t>í</w:t>
      </w:r>
      <w:r w:rsidRPr="00FE132C">
        <w:rPr>
          <w:rFonts w:cs="Tahoma"/>
          <w:szCs w:val="20"/>
        </w:rPr>
        <w:t>spares, as previsões para</w:t>
      </w:r>
      <w:r w:rsidR="00A3106D">
        <w:rPr>
          <w:rFonts w:cs="Tahoma"/>
          <w:szCs w:val="20"/>
        </w:rPr>
        <w:t xml:space="preserve"> a</w:t>
      </w:r>
      <w:r w:rsidRPr="00FE132C">
        <w:rPr>
          <w:rFonts w:cs="Tahoma"/>
          <w:szCs w:val="20"/>
        </w:rPr>
        <w:t xml:space="preserve"> Zona do Euro indicam crescimentos bem inferiores aos previstos para economia </w:t>
      </w:r>
      <w:r w:rsidR="00A3106D">
        <w:rPr>
          <w:rFonts w:cs="Tahoma"/>
          <w:szCs w:val="20"/>
        </w:rPr>
        <w:t>N</w:t>
      </w:r>
      <w:r w:rsidRPr="00FE132C">
        <w:rPr>
          <w:rFonts w:cs="Tahoma"/>
          <w:szCs w:val="20"/>
        </w:rPr>
        <w:t xml:space="preserve">orte </w:t>
      </w:r>
      <w:r w:rsidR="00A3106D">
        <w:rPr>
          <w:rFonts w:cs="Tahoma"/>
          <w:szCs w:val="20"/>
        </w:rPr>
        <w:t>A</w:t>
      </w:r>
      <w:r w:rsidRPr="00FE132C">
        <w:rPr>
          <w:rFonts w:cs="Tahoma"/>
          <w:szCs w:val="20"/>
        </w:rPr>
        <w:t xml:space="preserve">mericana, sendo projetadas respectivas expansões do PIB de 0,8% para 2024 e de 1,2% para 2025. A Zona do Euro não teve o já referido </w:t>
      </w:r>
      <w:r w:rsidR="00A3106D">
        <w:rPr>
          <w:rFonts w:cs="Tahoma"/>
          <w:szCs w:val="20"/>
        </w:rPr>
        <w:t>“</w:t>
      </w:r>
      <w:r w:rsidRPr="00FE132C">
        <w:rPr>
          <w:rFonts w:cs="Tahoma"/>
          <w:szCs w:val="20"/>
        </w:rPr>
        <w:t>pouso suave</w:t>
      </w:r>
      <w:r w:rsidR="00A3106D">
        <w:rPr>
          <w:rFonts w:cs="Tahoma"/>
          <w:szCs w:val="20"/>
        </w:rPr>
        <w:t>”</w:t>
      </w:r>
      <w:r w:rsidRPr="00FE132C">
        <w:rPr>
          <w:rFonts w:cs="Tahoma"/>
          <w:szCs w:val="20"/>
        </w:rPr>
        <w:t xml:space="preserve"> observado nos EUA, uma vez que a região sentiu de maneira mais severa as adversidades impostas pela pol</w:t>
      </w:r>
      <w:r w:rsidR="00A3106D">
        <w:rPr>
          <w:rFonts w:cs="Tahoma"/>
          <w:szCs w:val="20"/>
        </w:rPr>
        <w:t>í</w:t>
      </w:r>
      <w:r w:rsidRPr="00FE132C">
        <w:rPr>
          <w:rFonts w:cs="Tahoma"/>
          <w:szCs w:val="20"/>
        </w:rPr>
        <w:t>tica monetária contracionista adotada pelo Banco Central Europeu (BCE), inclusive flertando com uma possível recessão econômica ao longo dos últimos anos. Assim, a retomada do ritmo de crescimento tende a ser mais lenta, respondendo de forma gradual à redução dos juros recentemente iniciada em 2024.</w:t>
      </w:r>
    </w:p>
    <w:p w:rsidR="00FE132C" w:rsidRPr="00FE132C" w:rsidRDefault="00FE132C" w:rsidP="00D93366">
      <w:pPr>
        <w:spacing w:after="120"/>
        <w:ind w:firstLine="709"/>
        <w:jc w:val="both"/>
        <w:rPr>
          <w:rFonts w:cs="Tahoma"/>
          <w:szCs w:val="20"/>
        </w:rPr>
      </w:pPr>
      <w:r w:rsidRPr="00FE132C">
        <w:rPr>
          <w:rFonts w:cs="Tahoma"/>
          <w:szCs w:val="20"/>
        </w:rPr>
        <w:t>Outra economia que segue com baixo ritmo de crescimento é o Japão, que inclusive teve sua expectativa de expansão reduzida frente à publicação anterior do FMI ocorrida em junho. Para 2024, a previsão é de um crescimento de apenas 0,3%, contudo, melhorando para 2025, quando a perspectiva de avanços nos salários reais e, por conseguinte, do mercado consumidor interno, tende a elevar a taxa de expansão do PIB em 1,1%. Todo esse cenário resultou em uma projeção de crescimento para as economias desenvolvidas de 1,8% para ambos os exercícios (2024/2025), seguindo a estabilidade prevista em termos globais.</w:t>
      </w:r>
    </w:p>
    <w:p w:rsidR="00FE132C" w:rsidRPr="00FE132C" w:rsidRDefault="00FE132C" w:rsidP="00D93366">
      <w:pPr>
        <w:spacing w:after="120"/>
        <w:ind w:firstLine="709"/>
        <w:jc w:val="both"/>
        <w:rPr>
          <w:rFonts w:cs="Tahoma"/>
          <w:szCs w:val="20"/>
        </w:rPr>
      </w:pPr>
      <w:r w:rsidRPr="00FE132C">
        <w:rPr>
          <w:rFonts w:cs="Tahoma"/>
          <w:szCs w:val="20"/>
        </w:rPr>
        <w:t xml:space="preserve">Por sua vez, as economias emergentes também apresentam perspectivas distintas. Mais uma vez a Argentina consiste no único país do G20 com recessão estimada para 2024, mais especificamente sendo prevista retração da atividade econômica da ordem de -3,5%. Por outro lado, repetindo os últimos anos, a Índia segue na liderança das estimativas de crescimento, sendo previstas expansões do PIB de 6,7% e 6,5% para os anos de 2024 e 2025, respectivamente. A busca por novos mercados industriais tem direcionado diversas empresas a diversificarem suas plantas produtivas, diminuindo a dependência da China e tendo na Índia um de seus principais destinos. Além de salários bastante competitivos em relação à oferta global, a Índia tem historicamente </w:t>
      </w:r>
      <w:r w:rsidRPr="00FE132C">
        <w:rPr>
          <w:rFonts w:cs="Tahoma"/>
          <w:szCs w:val="20"/>
        </w:rPr>
        <w:lastRenderedPageBreak/>
        <w:t>fornecido qualificada mão de obra para empresas intensivas em tecnologia, sobretudo no desenvolvimento de softwares.</w:t>
      </w:r>
    </w:p>
    <w:p w:rsidR="00FE132C" w:rsidRPr="00FE132C" w:rsidRDefault="00FE132C" w:rsidP="00D93366">
      <w:pPr>
        <w:spacing w:after="120"/>
        <w:ind w:firstLine="709"/>
        <w:jc w:val="both"/>
        <w:rPr>
          <w:rFonts w:cs="Tahoma"/>
          <w:szCs w:val="20"/>
        </w:rPr>
      </w:pPr>
      <w:r w:rsidRPr="00FE132C">
        <w:rPr>
          <w:rFonts w:cs="Tahoma"/>
          <w:szCs w:val="20"/>
        </w:rPr>
        <w:t>Dentre os riscos citados pelo FMI como as principais ameaças aos crescimentos ora projetados, as questões fiscais são aquelas que mais preocupam os países emergentes. Em situações onde o espaço fiscal é limitado, a adoção de pol</w:t>
      </w:r>
      <w:r w:rsidR="00801158">
        <w:rPr>
          <w:rFonts w:cs="Tahoma"/>
          <w:szCs w:val="20"/>
        </w:rPr>
        <w:t>í</w:t>
      </w:r>
      <w:r w:rsidRPr="00FE132C">
        <w:rPr>
          <w:rFonts w:cs="Tahoma"/>
          <w:szCs w:val="20"/>
        </w:rPr>
        <w:t>ticas de inventivos governamentais ao crescimento tornam-se mais difíceis de serem executadas, aumentando a dependência dos instrumentos monetários. Em situações de emergência, como recentemente demandado pela pandemia ou nos casos envolvendo severas crises climáticas, a incapacidade do poder público em fazer as inversões necessárias sem que a relação dívida</w:t>
      </w:r>
      <w:r w:rsidR="00801158">
        <w:rPr>
          <w:rFonts w:cs="Tahoma"/>
          <w:szCs w:val="20"/>
        </w:rPr>
        <w:t xml:space="preserve"> </w:t>
      </w:r>
      <w:r w:rsidR="00801158" w:rsidRPr="00801158">
        <w:rPr>
          <w:rFonts w:cs="Tahoma"/>
          <w:i/>
          <w:iCs/>
          <w:szCs w:val="20"/>
        </w:rPr>
        <w:t>versus</w:t>
      </w:r>
      <w:r w:rsidRPr="00FE132C">
        <w:rPr>
          <w:rFonts w:cs="Tahoma"/>
          <w:szCs w:val="20"/>
        </w:rPr>
        <w:t xml:space="preserve"> PIB atinja patamares insustentáveis, irá consistir em barreira de difícil remoção ao crescimento. </w:t>
      </w:r>
    </w:p>
    <w:p w:rsidR="00FE132C" w:rsidRPr="00FE132C" w:rsidRDefault="00FE132C" w:rsidP="00D93366">
      <w:pPr>
        <w:spacing w:after="120"/>
        <w:ind w:firstLine="709"/>
        <w:jc w:val="both"/>
        <w:rPr>
          <w:rFonts w:cs="Tahoma"/>
          <w:szCs w:val="20"/>
        </w:rPr>
      </w:pPr>
      <w:r w:rsidRPr="00FE132C">
        <w:rPr>
          <w:rFonts w:cs="Tahoma"/>
          <w:szCs w:val="20"/>
        </w:rPr>
        <w:t xml:space="preserve">Outro ponto diz respeito ao menor grau de certeza quanto à inflação nas economias emergentes. Em outras palavras, não resta garantida a continuidade de queda dos juros de maneira uniforme, como </w:t>
      </w:r>
      <w:r w:rsidR="00801158">
        <w:rPr>
          <w:rFonts w:cs="Tahoma"/>
          <w:szCs w:val="20"/>
        </w:rPr>
        <w:t>é</w:t>
      </w:r>
      <w:r w:rsidRPr="00FE132C">
        <w:rPr>
          <w:rFonts w:cs="Tahoma"/>
          <w:szCs w:val="20"/>
        </w:rPr>
        <w:t xml:space="preserve"> o caso do Brasil, onde a retomada das pressões inflacionárias obrigou o BACEN a proceder novo aumentos dos juros em 2024, com novas altas sendo previstas até o final do corrente exercício. Em meio as peculiaridades de cada país, as previsões de crescimento para as economias emergentes são de 4,4% para 2024 e de 4,3% para 2025, com a China e, principalmente a Índia, puxando para cima a média do grupo, que superou a média estimada para as economias desenvolvidas. </w:t>
      </w:r>
    </w:p>
    <w:p w:rsidR="00FE132C" w:rsidRPr="00FE132C" w:rsidRDefault="00FE132C" w:rsidP="00D93366">
      <w:pPr>
        <w:spacing w:after="120"/>
        <w:ind w:firstLine="709"/>
        <w:jc w:val="both"/>
        <w:rPr>
          <w:rFonts w:cs="Tahoma"/>
          <w:szCs w:val="20"/>
        </w:rPr>
      </w:pPr>
      <w:r w:rsidRPr="00FE132C">
        <w:rPr>
          <w:rFonts w:cs="Tahoma"/>
          <w:szCs w:val="20"/>
        </w:rPr>
        <w:t>Além das questões fiscais, o FMI também destaca o acirramento das crises geopolíticas ao redor do mundo, o recrudescimento dos embates comerciais, em especial na relação entre China e EUA, e a volatilidade do mercado financeiro como as principais ameaças ao crescimento global, mas estas não restritas ou mais pesadamente sentidas pelas economias em desenvolvimento, estando ao alcance de todos os países.</w:t>
      </w:r>
    </w:p>
    <w:p w:rsidR="00FE132C" w:rsidRDefault="00FE132C" w:rsidP="00D93366">
      <w:pPr>
        <w:spacing w:after="120"/>
        <w:ind w:firstLine="709"/>
        <w:jc w:val="both"/>
        <w:rPr>
          <w:rFonts w:cs="Tahoma"/>
          <w:szCs w:val="20"/>
        </w:rPr>
      </w:pPr>
      <w:r w:rsidRPr="00FE132C">
        <w:rPr>
          <w:rFonts w:cs="Tahoma"/>
          <w:szCs w:val="20"/>
        </w:rPr>
        <w:t>Em meio a um cenário internacional de inflação e juros em queda, a expectativa é que a pressão sobre o câmbio diminuísse em comparação a 2023, quando um cenário externo adverso implicou constante evasão de divisas do país, com os investidores buscando opções mais seguras e, naquele momento, também mais rentáveis. Todavia, mesmo que em 2024 os juros internacionais passassem a oferecer uma menor ameaça a competitividade das opções de investimento no Brasil</w:t>
      </w:r>
      <w:r w:rsidR="00801158">
        <w:rPr>
          <w:rFonts w:cs="Tahoma"/>
          <w:szCs w:val="20"/>
        </w:rPr>
        <w:t>,</w:t>
      </w:r>
      <w:r w:rsidRPr="00FE132C">
        <w:rPr>
          <w:rFonts w:cs="Tahoma"/>
          <w:szCs w:val="20"/>
        </w:rPr>
        <w:t xml:space="preserve"> as questões fiscais do país elevaram a percepção de risco dos agentes econômicos, que novamente optaram por alternativas mais seguras nas economias desenvolvidas. Soma-se a isso, uma pitada de incerteza advinda das eleições norte americanas, uma vez que a pauta econômica do candidato Donald Trump possui certo viés inflacionário, o que poderia conduzir os juros do país a um novo ciclo de alta.</w:t>
      </w:r>
    </w:p>
    <w:p w:rsidR="00FE132C" w:rsidRDefault="00FE132C" w:rsidP="00FE132C">
      <w:pPr>
        <w:spacing w:after="120"/>
        <w:ind w:firstLine="709"/>
        <w:rPr>
          <w:rFonts w:cs="Tahoma"/>
          <w:szCs w:val="20"/>
        </w:rPr>
      </w:pPr>
      <w:r w:rsidRPr="002150E6">
        <w:rPr>
          <w:noProof/>
        </w:rPr>
        <w:lastRenderedPageBreak/>
        <w:drawing>
          <wp:inline distT="0" distB="0" distL="0" distR="0">
            <wp:extent cx="4318000" cy="1955800"/>
            <wp:effectExtent l="0" t="0" r="6350" b="6350"/>
            <wp:docPr id="1681089171" name="Gráfico 1681089171"/>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FE132C" w:rsidRPr="0054000D" w:rsidRDefault="00FE132C" w:rsidP="00FE132C">
      <w:pPr>
        <w:spacing w:after="0" w:line="240" w:lineRule="auto"/>
        <w:ind w:left="709"/>
        <w:rPr>
          <w:rFonts w:ascii="Tahoma" w:hAnsi="Tahoma" w:cs="Tahoma"/>
          <w:b/>
          <w:bCs/>
          <w:sz w:val="14"/>
          <w:szCs w:val="14"/>
        </w:rPr>
      </w:pPr>
      <w:r w:rsidRPr="0054000D">
        <w:rPr>
          <w:rFonts w:ascii="Tahoma" w:hAnsi="Tahoma" w:cs="Tahoma"/>
          <w:b/>
          <w:bCs/>
          <w:sz w:val="14"/>
          <w:szCs w:val="14"/>
        </w:rPr>
        <w:t>Gráfico 2 - Taxa de Câmbio (R$/US$)</w:t>
      </w:r>
    </w:p>
    <w:p w:rsidR="00FE132C" w:rsidRPr="0054000D" w:rsidRDefault="00FE132C" w:rsidP="00FE132C">
      <w:pPr>
        <w:spacing w:after="0" w:line="240" w:lineRule="auto"/>
        <w:ind w:left="709"/>
        <w:jc w:val="both"/>
        <w:rPr>
          <w:rFonts w:ascii="Tahoma" w:hAnsi="Tahoma" w:cs="Tahoma"/>
          <w:sz w:val="12"/>
          <w:szCs w:val="14"/>
        </w:rPr>
      </w:pPr>
      <w:r w:rsidRPr="0054000D">
        <w:rPr>
          <w:rFonts w:ascii="Tahoma" w:hAnsi="Tahoma" w:cs="Tahoma"/>
          <w:sz w:val="12"/>
          <w:szCs w:val="14"/>
        </w:rPr>
        <w:t>Fonte: BACEN.</w:t>
      </w:r>
    </w:p>
    <w:p w:rsidR="00FE132C" w:rsidRPr="0054000D" w:rsidRDefault="00FE132C" w:rsidP="00FE132C">
      <w:pPr>
        <w:spacing w:after="0" w:line="240" w:lineRule="auto"/>
        <w:ind w:left="709"/>
        <w:rPr>
          <w:rFonts w:ascii="Tahoma" w:hAnsi="Tahoma" w:cs="Tahoma"/>
          <w:bCs/>
          <w:sz w:val="12"/>
          <w:szCs w:val="14"/>
        </w:rPr>
      </w:pPr>
      <w:r w:rsidRPr="0054000D">
        <w:rPr>
          <w:rFonts w:ascii="Tahoma" w:hAnsi="Tahoma" w:cs="Tahoma"/>
          <w:bCs/>
          <w:sz w:val="12"/>
          <w:szCs w:val="14"/>
        </w:rPr>
        <w:t>Nota: Cotações até 22/10/2024.</w:t>
      </w:r>
    </w:p>
    <w:p w:rsidR="00FE132C" w:rsidRDefault="00FE132C" w:rsidP="00FE132C">
      <w:pPr>
        <w:spacing w:after="120"/>
        <w:ind w:firstLine="709"/>
        <w:rPr>
          <w:rFonts w:cs="Tahoma"/>
          <w:szCs w:val="20"/>
        </w:rPr>
      </w:pPr>
    </w:p>
    <w:p w:rsidR="00FE132C" w:rsidRPr="00FE132C" w:rsidRDefault="00FE132C" w:rsidP="00D93366">
      <w:pPr>
        <w:spacing w:after="120"/>
        <w:ind w:firstLine="709"/>
        <w:jc w:val="both"/>
        <w:rPr>
          <w:rFonts w:cs="Tahoma"/>
          <w:szCs w:val="20"/>
        </w:rPr>
      </w:pPr>
      <w:r w:rsidRPr="00FE132C">
        <w:rPr>
          <w:rFonts w:cs="Tahoma"/>
          <w:szCs w:val="20"/>
        </w:rPr>
        <w:t>O gráfico acima ilustra o comportamento do dólar ao longo de 2024, sendo possível identificar uma tendência de alta em praticamente todos os meses do ano. Registra-se que nos primeiros 10 meses de 2024 o investidor estrangeiro promoveu uma retirada líquida de recursos do país próxima a R$ 30 bilhões. Com efeito, neste mesmo período o dólar comercial registrou variação positiva de 16,4%, cotado a R$ 5,69</w:t>
      </w:r>
      <w:r w:rsidR="00801158">
        <w:rPr>
          <w:rFonts w:cs="Tahoma"/>
          <w:szCs w:val="20"/>
        </w:rPr>
        <w:t>.</w:t>
      </w:r>
      <w:r w:rsidRPr="00FE132C">
        <w:rPr>
          <w:rFonts w:cs="Tahoma"/>
          <w:szCs w:val="20"/>
        </w:rPr>
        <w:t xml:space="preserve">  </w:t>
      </w:r>
    </w:p>
    <w:p w:rsidR="00FE132C" w:rsidRPr="00FE132C" w:rsidRDefault="00FE132C" w:rsidP="000C021C">
      <w:pPr>
        <w:pStyle w:val="Ttulo2"/>
        <w:rPr>
          <w:rFonts w:ascii="Tahoma" w:hAnsi="Tahoma" w:cs="Tahoma"/>
          <w:b/>
          <w:sz w:val="20"/>
          <w:szCs w:val="20"/>
        </w:rPr>
      </w:pPr>
      <w:bookmarkStart w:id="16" w:name="_Toc181778164"/>
      <w:r w:rsidRPr="000C021C">
        <w:rPr>
          <w:rFonts w:ascii="Tahoma" w:hAnsi="Tahoma" w:cs="Tahoma"/>
          <w:b/>
          <w:color w:val="auto"/>
          <w:sz w:val="20"/>
          <w:szCs w:val="20"/>
        </w:rPr>
        <w:t>Taxa de Juros, Inflação e Política Monetária</w:t>
      </w:r>
      <w:bookmarkEnd w:id="16"/>
    </w:p>
    <w:p w:rsidR="00FE132C" w:rsidRPr="00FE132C" w:rsidRDefault="00FE132C" w:rsidP="00D93366">
      <w:pPr>
        <w:spacing w:after="120"/>
        <w:ind w:firstLine="709"/>
        <w:jc w:val="both"/>
        <w:rPr>
          <w:rFonts w:cs="Tahoma"/>
          <w:szCs w:val="20"/>
        </w:rPr>
      </w:pPr>
      <w:r w:rsidRPr="00FE132C">
        <w:rPr>
          <w:rFonts w:cs="Tahoma"/>
          <w:szCs w:val="20"/>
        </w:rPr>
        <w:t>No final de 2020 as projeções do mercado indicavam que 2021 seria caracterizado por uma relativa estabilidade da taxa Selic, com a última pesquisa Focus publicada naquele ano prevendo uma elevação máxima do indicador de 1 (um) ponto percentual, saindo de sua mínima histórica de 2% e encerrando o corrente exercício em 3%.</w:t>
      </w:r>
    </w:p>
    <w:p w:rsidR="00FE132C" w:rsidRPr="00FE132C" w:rsidRDefault="00FE132C" w:rsidP="00D93366">
      <w:pPr>
        <w:spacing w:after="120"/>
        <w:ind w:firstLine="709"/>
        <w:jc w:val="both"/>
        <w:rPr>
          <w:rFonts w:cs="Tahoma"/>
          <w:szCs w:val="20"/>
        </w:rPr>
      </w:pPr>
      <w:r w:rsidRPr="00FE132C">
        <w:rPr>
          <w:rFonts w:cs="Tahoma"/>
          <w:szCs w:val="20"/>
        </w:rPr>
        <w:t>A expectativa era que o COPOM promovesse maiores altas apenas em 2022, elevando a taxa básica de juros da economia brasileira para 4,5% em um processo de normalização da taxa básica de juros do país.</w:t>
      </w:r>
    </w:p>
    <w:p w:rsidR="00FE132C" w:rsidRPr="00FE132C" w:rsidRDefault="00FE132C" w:rsidP="00D93366">
      <w:pPr>
        <w:spacing w:after="120"/>
        <w:ind w:firstLine="709"/>
        <w:jc w:val="both"/>
        <w:rPr>
          <w:rFonts w:cs="Tahoma"/>
          <w:szCs w:val="20"/>
        </w:rPr>
      </w:pPr>
      <w:r w:rsidRPr="00FE132C">
        <w:rPr>
          <w:rFonts w:cs="Tahoma"/>
          <w:szCs w:val="20"/>
        </w:rPr>
        <w:t>No entanto, a aceleração inflacionária ocorrida ao longo de 2021, com todas as projeções de IPCA indicando o extrapolamento do teto da meta estabelecida pelo BACEN (5,25%), implicaram mudança de rumo na condução da pol</w:t>
      </w:r>
      <w:r w:rsidR="00801158">
        <w:rPr>
          <w:rFonts w:cs="Tahoma"/>
          <w:szCs w:val="20"/>
        </w:rPr>
        <w:t>í</w:t>
      </w:r>
      <w:r w:rsidRPr="00FE132C">
        <w:rPr>
          <w:rFonts w:cs="Tahoma"/>
          <w:szCs w:val="20"/>
        </w:rPr>
        <w:t>tica monetária, tendo sido promovidos 07 (sete) aumentos consecutivos da Selic durante referido exercício, elevando os juros brasileiros para 9,25%</w:t>
      </w:r>
    </w:p>
    <w:p w:rsidR="00FE132C" w:rsidRPr="00FE132C" w:rsidRDefault="00FE132C" w:rsidP="00D93366">
      <w:pPr>
        <w:spacing w:after="120"/>
        <w:ind w:firstLine="709"/>
        <w:jc w:val="both"/>
        <w:rPr>
          <w:rFonts w:cs="Tahoma"/>
          <w:szCs w:val="20"/>
        </w:rPr>
      </w:pPr>
      <w:r w:rsidRPr="00FE132C">
        <w:rPr>
          <w:rFonts w:cs="Tahoma"/>
          <w:szCs w:val="20"/>
        </w:rPr>
        <w:t>A manutenção de um quadro de resiliência inflacionária seguiu impulsionando os juros em 2022. Ao longo daquele ano, o COPOM efetivou 05 (cinco) novas altas da Taxa Selic, com os juros básicos do país encerrando o exercício em 13,75%.</w:t>
      </w:r>
    </w:p>
    <w:p w:rsidR="00FE132C" w:rsidRPr="00FE132C" w:rsidRDefault="00FE132C" w:rsidP="00D93366">
      <w:pPr>
        <w:spacing w:after="120"/>
        <w:ind w:firstLine="709"/>
        <w:jc w:val="both"/>
        <w:rPr>
          <w:rFonts w:cs="Tahoma"/>
          <w:szCs w:val="20"/>
        </w:rPr>
      </w:pPr>
      <w:r w:rsidRPr="00FE132C">
        <w:rPr>
          <w:rFonts w:cs="Tahoma"/>
          <w:szCs w:val="20"/>
        </w:rPr>
        <w:t>A partir disso, todas as projeções passaram a indicar o in</w:t>
      </w:r>
      <w:r w:rsidR="00801158">
        <w:rPr>
          <w:rFonts w:cs="Tahoma"/>
          <w:szCs w:val="20"/>
        </w:rPr>
        <w:t>í</w:t>
      </w:r>
      <w:r w:rsidRPr="00FE132C">
        <w:rPr>
          <w:rFonts w:cs="Tahoma"/>
          <w:szCs w:val="20"/>
        </w:rPr>
        <w:t>cio do ciclo de queda da Selic no decorrer de 2023. Assim, após manter a taxa em 13,75% por 07 (sete) vezes consecutivas, o COPOM promoveu 03 (três) cortes em sequência da Selic no segundo semestre do ano passado, todos na magnitude de 0,5 ponto percentual, com o primeiro ocorrendo no mês de setembro e o último em dezembro, finalizando com uma Selic em 11,75%.</w:t>
      </w:r>
    </w:p>
    <w:p w:rsidR="00FE132C" w:rsidRPr="00FE132C" w:rsidRDefault="00FE132C" w:rsidP="00D93366">
      <w:pPr>
        <w:spacing w:after="120"/>
        <w:ind w:firstLine="709"/>
        <w:jc w:val="both"/>
        <w:rPr>
          <w:rFonts w:cs="Tahoma"/>
          <w:szCs w:val="20"/>
        </w:rPr>
      </w:pPr>
      <w:r w:rsidRPr="00FE132C">
        <w:rPr>
          <w:rFonts w:cs="Tahoma"/>
          <w:szCs w:val="20"/>
        </w:rPr>
        <w:t xml:space="preserve">Para 2024, as previsões seguiram indicando sucessivas quedas dos juros, situação confirmada ao longo do primeiro semestre do ano, período em que 03 (três) novos cortes foram promovidos pelo COPOM, todavia, não na mesma magnitude, com o ritmo de queda desacelerando a partir de </w:t>
      </w:r>
      <w:r w:rsidRPr="00FE132C">
        <w:rPr>
          <w:rFonts w:cs="Tahoma"/>
          <w:szCs w:val="20"/>
        </w:rPr>
        <w:lastRenderedPageBreak/>
        <w:t xml:space="preserve">junho. Após realizar 02 (dois) novos cortes na magnitude de 0,5 ponto percentual cada entre os meses de fevereiro e março, o COPOM reduziu a queda da Selic para 0,25 ponto percentual na reunião de maio, com a taxa alcançando o piso anual de 10,50%. Referida perda de ritmo passou a sinalizar a preocupação do BACEN com a resiliência das pressões inflacionárias, uma vez que o Brasil, de forma análoga ao verificado nos EUA, também presenciava uma espécie de </w:t>
      </w:r>
      <w:r w:rsidR="00801158">
        <w:rPr>
          <w:rFonts w:cs="Tahoma"/>
          <w:szCs w:val="20"/>
        </w:rPr>
        <w:t>“</w:t>
      </w:r>
      <w:r w:rsidRPr="00FE132C">
        <w:rPr>
          <w:rFonts w:cs="Tahoma"/>
          <w:szCs w:val="20"/>
        </w:rPr>
        <w:t>pouso suave</w:t>
      </w:r>
      <w:r w:rsidR="00801158">
        <w:rPr>
          <w:rFonts w:cs="Tahoma"/>
          <w:szCs w:val="20"/>
        </w:rPr>
        <w:t>”</w:t>
      </w:r>
      <w:r w:rsidRPr="00FE132C">
        <w:rPr>
          <w:rFonts w:cs="Tahoma"/>
          <w:szCs w:val="20"/>
        </w:rPr>
        <w:t xml:space="preserve"> da economia, com os efeitos adversos da pol</w:t>
      </w:r>
      <w:r w:rsidR="00801158">
        <w:rPr>
          <w:rFonts w:cs="Tahoma"/>
          <w:szCs w:val="20"/>
        </w:rPr>
        <w:t>í</w:t>
      </w:r>
      <w:r w:rsidRPr="00FE132C">
        <w:rPr>
          <w:rFonts w:cs="Tahoma"/>
          <w:szCs w:val="20"/>
        </w:rPr>
        <w:t>tica monetária contracionista até então vigente impactando menos do que o esperado a atividade econômica, em especial o mercado de trabalho e o consumo das famílias.</w:t>
      </w:r>
    </w:p>
    <w:p w:rsidR="00FE132C" w:rsidRDefault="00FE132C" w:rsidP="00D93366">
      <w:pPr>
        <w:spacing w:after="120"/>
        <w:ind w:firstLine="709"/>
        <w:jc w:val="both"/>
        <w:rPr>
          <w:rFonts w:cs="Tahoma"/>
          <w:szCs w:val="20"/>
        </w:rPr>
      </w:pPr>
      <w:r w:rsidRPr="00FE132C">
        <w:rPr>
          <w:rFonts w:cs="Tahoma"/>
          <w:szCs w:val="20"/>
        </w:rPr>
        <w:t>Tal preocupação freou o ciclo de queda da Selic, fazendo com que a taxa fosse renovada em 10,50% nas duas reuniões seguintes do COPOM e, ainda, experimentando nova alta de 0,25 ponto percentual no encontro de setembro, o que elevou os juros básicos do país para taxa de 10,75% ao ano.</w:t>
      </w:r>
    </w:p>
    <w:p w:rsidR="00FE132C" w:rsidRDefault="00FE132C" w:rsidP="00FE132C">
      <w:pPr>
        <w:spacing w:after="120"/>
        <w:ind w:firstLine="709"/>
        <w:rPr>
          <w:rFonts w:cs="Tahoma"/>
          <w:szCs w:val="20"/>
        </w:rPr>
      </w:pPr>
      <w:r w:rsidRPr="002150E6">
        <w:rPr>
          <w:noProof/>
        </w:rPr>
        <w:drawing>
          <wp:inline distT="0" distB="0" distL="0" distR="0">
            <wp:extent cx="4698896" cy="1944499"/>
            <wp:effectExtent l="0" t="0" r="26035" b="17780"/>
            <wp:docPr id="1037562411" name="Gráfico 1037562411"/>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FE132C" w:rsidRPr="0054000D" w:rsidRDefault="00FE132C" w:rsidP="00FE132C">
      <w:pPr>
        <w:spacing w:after="0" w:line="240" w:lineRule="auto"/>
        <w:ind w:left="709"/>
        <w:rPr>
          <w:rFonts w:ascii="Tahoma" w:hAnsi="Tahoma" w:cs="Tahoma"/>
          <w:sz w:val="14"/>
          <w:szCs w:val="14"/>
        </w:rPr>
      </w:pPr>
      <w:r w:rsidRPr="0054000D">
        <w:rPr>
          <w:rFonts w:ascii="Tahoma" w:hAnsi="Tahoma" w:cs="Tahoma"/>
          <w:b/>
          <w:bCs/>
          <w:sz w:val="14"/>
          <w:szCs w:val="14"/>
        </w:rPr>
        <w:t>Gráfico 3 – Evolução da Taxa Selic (%)</w:t>
      </w:r>
    </w:p>
    <w:p w:rsidR="00FE132C" w:rsidRPr="0054000D" w:rsidRDefault="00FE132C" w:rsidP="00FE132C">
      <w:pPr>
        <w:spacing w:after="0" w:line="240" w:lineRule="auto"/>
        <w:ind w:left="709"/>
        <w:rPr>
          <w:rFonts w:ascii="Tahoma" w:hAnsi="Tahoma" w:cs="Tahoma"/>
          <w:sz w:val="12"/>
          <w:szCs w:val="14"/>
        </w:rPr>
      </w:pPr>
      <w:r w:rsidRPr="0054000D">
        <w:rPr>
          <w:rFonts w:ascii="Tahoma" w:hAnsi="Tahoma" w:cs="Tahoma"/>
          <w:sz w:val="12"/>
          <w:szCs w:val="14"/>
        </w:rPr>
        <w:t>Fonte: BACEN.</w:t>
      </w:r>
    </w:p>
    <w:p w:rsidR="00FE132C" w:rsidRPr="0054000D" w:rsidRDefault="00FE132C" w:rsidP="00FE132C">
      <w:pPr>
        <w:spacing w:after="0" w:line="240" w:lineRule="auto"/>
        <w:ind w:left="709"/>
        <w:rPr>
          <w:rFonts w:ascii="Tahoma" w:hAnsi="Tahoma" w:cs="Tahoma"/>
          <w:sz w:val="12"/>
          <w:szCs w:val="14"/>
        </w:rPr>
      </w:pPr>
      <w:r w:rsidRPr="0054000D">
        <w:rPr>
          <w:rFonts w:ascii="Tahoma" w:hAnsi="Tahoma" w:cs="Tahoma"/>
          <w:sz w:val="12"/>
          <w:szCs w:val="14"/>
        </w:rPr>
        <w:t>NOTA: Dados até a última reunião do COPOM (19/09/24).</w:t>
      </w:r>
    </w:p>
    <w:p w:rsidR="00FE132C" w:rsidRDefault="00FE132C" w:rsidP="00FE132C">
      <w:pPr>
        <w:spacing w:after="120"/>
        <w:ind w:firstLine="709"/>
        <w:rPr>
          <w:rFonts w:cs="Tahoma"/>
          <w:szCs w:val="20"/>
        </w:rPr>
      </w:pPr>
    </w:p>
    <w:p w:rsidR="00FE132C" w:rsidRPr="00FE132C" w:rsidRDefault="00FE132C" w:rsidP="00D93366">
      <w:pPr>
        <w:spacing w:after="120"/>
        <w:ind w:firstLine="709"/>
        <w:jc w:val="both"/>
        <w:rPr>
          <w:rFonts w:cs="Tahoma"/>
          <w:szCs w:val="20"/>
        </w:rPr>
      </w:pPr>
      <w:r w:rsidRPr="00FE132C">
        <w:rPr>
          <w:rFonts w:cs="Tahoma"/>
          <w:szCs w:val="20"/>
        </w:rPr>
        <w:t xml:space="preserve">A cautela do BACEN acerca das pressões inflacionárias dialoga com as previsões do mercado, que projetam mais duas novas elevações da Selic para 2024, ambas de 0,5 ponto percentual, elevando os juros para 11,75% até o final do corrente exercício. Para 2025, o mercado não sinaliza grandes mudanças no rumo da Selic, sendo prevista uma única redução de 0,5 ponto percentual ao longo do próximo ano, com a taxa caindo para 11,25%, movimento parecido com as </w:t>
      </w:r>
      <w:r w:rsidR="00801158">
        <w:rPr>
          <w:rFonts w:cs="Tahoma"/>
          <w:szCs w:val="20"/>
        </w:rPr>
        <w:t>ú</w:t>
      </w:r>
      <w:r w:rsidRPr="00FE132C">
        <w:rPr>
          <w:rFonts w:cs="Tahoma"/>
          <w:szCs w:val="20"/>
        </w:rPr>
        <w:t>ltimas estimativas inflacionárias para o biênio em curso.</w:t>
      </w:r>
    </w:p>
    <w:p w:rsidR="00FE132C" w:rsidRDefault="00FE132C" w:rsidP="00D93366">
      <w:pPr>
        <w:spacing w:after="120"/>
        <w:ind w:firstLine="709"/>
        <w:jc w:val="both"/>
        <w:rPr>
          <w:rFonts w:cs="Tahoma"/>
          <w:szCs w:val="20"/>
        </w:rPr>
      </w:pPr>
      <w:r w:rsidRPr="00FE132C">
        <w:rPr>
          <w:rFonts w:cs="Tahoma"/>
          <w:szCs w:val="20"/>
        </w:rPr>
        <w:t>Isto porqu</w:t>
      </w:r>
      <w:r w:rsidR="00801158">
        <w:rPr>
          <w:rFonts w:cs="Tahoma"/>
          <w:szCs w:val="20"/>
        </w:rPr>
        <w:t>e</w:t>
      </w:r>
      <w:r w:rsidRPr="00FE132C">
        <w:rPr>
          <w:rFonts w:cs="Tahoma"/>
          <w:szCs w:val="20"/>
        </w:rPr>
        <w:t>, a diferença entre as inflações projetada para 2024 e 2025 é de apenas 0,55 ponto percentual, sendo previstas respectivas taxas de 4,55% e 4% para os anos de 2024 e 2025. Em outras palavras, observa-se que a previsão é de um IPCA acima da meta em ambos os anos (3%), ficando levemente acima do teto em 2024 (4,5%), mas recuando para um nível intermediário entre o centro e o teto da meta a partir de 2025.</w:t>
      </w:r>
    </w:p>
    <w:p w:rsidR="00FE132C" w:rsidRDefault="00FE132C" w:rsidP="00FE132C">
      <w:pPr>
        <w:spacing w:after="120"/>
        <w:ind w:firstLine="709"/>
        <w:rPr>
          <w:rFonts w:cs="Tahoma"/>
          <w:szCs w:val="20"/>
        </w:rPr>
      </w:pPr>
      <w:r w:rsidRPr="002150E6">
        <w:rPr>
          <w:noProof/>
        </w:rPr>
        <w:lastRenderedPageBreak/>
        <w:drawing>
          <wp:inline distT="0" distB="0" distL="0" distR="0">
            <wp:extent cx="4725022" cy="2093789"/>
            <wp:effectExtent l="0" t="0" r="19050" b="20955"/>
            <wp:docPr id="5"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FE132C" w:rsidRPr="0054000D" w:rsidRDefault="00FE132C" w:rsidP="00FE132C">
      <w:pPr>
        <w:spacing w:after="0" w:line="240" w:lineRule="auto"/>
        <w:ind w:left="709"/>
        <w:jc w:val="both"/>
        <w:rPr>
          <w:rFonts w:ascii="Tahoma" w:hAnsi="Tahoma" w:cs="Tahoma"/>
          <w:b/>
          <w:bCs/>
          <w:sz w:val="14"/>
          <w:szCs w:val="14"/>
        </w:rPr>
      </w:pPr>
      <w:r w:rsidRPr="0054000D">
        <w:rPr>
          <w:rFonts w:ascii="Tahoma" w:hAnsi="Tahoma" w:cs="Tahoma"/>
          <w:b/>
          <w:bCs/>
          <w:sz w:val="14"/>
          <w:szCs w:val="14"/>
        </w:rPr>
        <w:t>Gráfico 4 - Série Histórica IPCA Anual (%)</w:t>
      </w:r>
    </w:p>
    <w:p w:rsidR="00FE132C" w:rsidRPr="0054000D" w:rsidRDefault="00FE132C" w:rsidP="00FE132C">
      <w:pPr>
        <w:spacing w:after="0" w:line="240" w:lineRule="auto"/>
        <w:ind w:left="709"/>
        <w:jc w:val="both"/>
        <w:rPr>
          <w:rFonts w:ascii="Tahoma" w:hAnsi="Tahoma" w:cs="Tahoma"/>
          <w:sz w:val="12"/>
          <w:szCs w:val="14"/>
        </w:rPr>
      </w:pPr>
      <w:r w:rsidRPr="0054000D">
        <w:rPr>
          <w:rFonts w:ascii="Tahoma" w:hAnsi="Tahoma" w:cs="Tahoma"/>
          <w:sz w:val="12"/>
          <w:szCs w:val="14"/>
        </w:rPr>
        <w:t>Fonte: IBGE.</w:t>
      </w:r>
    </w:p>
    <w:p w:rsidR="00FE132C" w:rsidRPr="0054000D" w:rsidRDefault="00FE132C" w:rsidP="00FE132C">
      <w:pPr>
        <w:spacing w:after="0" w:line="240" w:lineRule="auto"/>
        <w:ind w:left="709"/>
        <w:rPr>
          <w:rFonts w:ascii="Tahoma" w:hAnsi="Tahoma" w:cs="Tahoma"/>
          <w:sz w:val="12"/>
          <w:szCs w:val="14"/>
        </w:rPr>
      </w:pPr>
      <w:r w:rsidRPr="0054000D">
        <w:rPr>
          <w:rFonts w:ascii="Tahoma" w:hAnsi="Tahoma" w:cs="Tahoma"/>
          <w:sz w:val="12"/>
          <w:szCs w:val="14"/>
        </w:rPr>
        <w:t>Nota: (*) Pesquisa Focus de 18/10/2024.</w:t>
      </w:r>
    </w:p>
    <w:p w:rsidR="00FE132C" w:rsidRDefault="00FE132C" w:rsidP="00FE132C">
      <w:pPr>
        <w:spacing w:after="120"/>
        <w:ind w:firstLine="709"/>
        <w:rPr>
          <w:rFonts w:cs="Tahoma"/>
          <w:szCs w:val="20"/>
        </w:rPr>
      </w:pPr>
    </w:p>
    <w:p w:rsidR="00FE132C" w:rsidRPr="00FE132C" w:rsidRDefault="00FE132C" w:rsidP="00D93366">
      <w:pPr>
        <w:spacing w:after="120"/>
        <w:ind w:firstLine="709"/>
        <w:jc w:val="both"/>
        <w:rPr>
          <w:rFonts w:cs="Tahoma"/>
          <w:szCs w:val="20"/>
        </w:rPr>
      </w:pPr>
      <w:r w:rsidRPr="00FE132C">
        <w:rPr>
          <w:rFonts w:cs="Tahoma"/>
          <w:szCs w:val="20"/>
        </w:rPr>
        <w:t>Conforme já referido anteriormente, o prejuízo trazido pela situação fiscal à ancoragem das expectativas inflacionárias e a respectiva necessidade de maiores prêmios para rolagem da dívida pública, tem consistido no principal fator de risco às projeções de IPCA. Soma-se a isso, a também já referida resiliência do mercado de trabalho e, por conseguinte, do consumo das famílias, que em virtude do incremento de diversos programas sociais e da pol</w:t>
      </w:r>
      <w:r w:rsidR="00801158">
        <w:rPr>
          <w:rFonts w:cs="Tahoma"/>
          <w:szCs w:val="20"/>
        </w:rPr>
        <w:t>í</w:t>
      </w:r>
      <w:r w:rsidRPr="00FE132C">
        <w:rPr>
          <w:rFonts w:cs="Tahoma"/>
          <w:szCs w:val="20"/>
        </w:rPr>
        <w:t>tica de pagamento de precatórios em curso, ajudaram a manter a economia doméstica aquecida em 2024.</w:t>
      </w:r>
    </w:p>
    <w:p w:rsidR="00FE132C" w:rsidRPr="00FE132C" w:rsidRDefault="00FE132C" w:rsidP="00D93366">
      <w:pPr>
        <w:spacing w:after="120"/>
        <w:ind w:firstLine="709"/>
        <w:jc w:val="both"/>
        <w:rPr>
          <w:rFonts w:cs="Tahoma"/>
          <w:szCs w:val="20"/>
        </w:rPr>
      </w:pPr>
      <w:r w:rsidRPr="00FE132C">
        <w:rPr>
          <w:rFonts w:cs="Tahoma"/>
          <w:szCs w:val="20"/>
        </w:rPr>
        <w:t>A questão cambial é outro ponto que merece ser ressalvado no que tange às previsões inflacionárias. Uma economia doméstica aquecida incentiva um maior volume de importações, que combinada com a desvalorização do real frente ao dólar, aumenta a pressão sobre os preços de toda a cadeia produtiva.</w:t>
      </w:r>
    </w:p>
    <w:p w:rsidR="00FE132C" w:rsidRPr="00FE132C" w:rsidRDefault="00FE132C" w:rsidP="00D93366">
      <w:pPr>
        <w:spacing w:after="120"/>
        <w:ind w:firstLine="709"/>
        <w:jc w:val="both"/>
        <w:rPr>
          <w:rFonts w:cs="Tahoma"/>
          <w:szCs w:val="20"/>
        </w:rPr>
      </w:pPr>
      <w:r w:rsidRPr="00FE132C">
        <w:rPr>
          <w:rFonts w:cs="Tahoma"/>
          <w:szCs w:val="20"/>
        </w:rPr>
        <w:t xml:space="preserve">No ano (até setembro) e no acumulado dos últimos 12 (doze) meses, o IPCA registra respectivas altas de 3,31% e 4,42%. Importante ressaltar que esses mesmos indicadores em 2023 contabilizavam inflações de 3,50% e 5,19%. </w:t>
      </w:r>
    </w:p>
    <w:p w:rsidR="00FE132C" w:rsidRPr="00FE132C" w:rsidRDefault="00FE132C" w:rsidP="00D93366">
      <w:pPr>
        <w:spacing w:after="120"/>
        <w:ind w:firstLine="709"/>
        <w:jc w:val="both"/>
        <w:rPr>
          <w:rFonts w:cs="Tahoma"/>
          <w:szCs w:val="20"/>
        </w:rPr>
      </w:pPr>
      <w:r w:rsidRPr="00FE132C">
        <w:rPr>
          <w:rFonts w:cs="Tahoma"/>
          <w:szCs w:val="20"/>
        </w:rPr>
        <w:t>As maiores altas verificadas nesse período ficaram por conta dos grupos</w:t>
      </w:r>
      <w:r w:rsidR="00801158">
        <w:rPr>
          <w:rFonts w:cs="Tahoma"/>
          <w:szCs w:val="20"/>
        </w:rPr>
        <w:t>:</w:t>
      </w:r>
      <w:r w:rsidRPr="00FE132C">
        <w:rPr>
          <w:rFonts w:cs="Tahoma"/>
          <w:szCs w:val="20"/>
        </w:rPr>
        <w:t xml:space="preserve"> Educação (6,59%) e Saúde e Cuidados Pessoais (5,35%). Por outro lado, grupos mais representativos no cômputo de cálculo do IPCA registraram variações inferiores, como são os casos dos grupos</w:t>
      </w:r>
      <w:r w:rsidR="00801158">
        <w:rPr>
          <w:rFonts w:cs="Tahoma"/>
          <w:szCs w:val="20"/>
        </w:rPr>
        <w:t>:</w:t>
      </w:r>
      <w:r w:rsidRPr="00FE132C">
        <w:rPr>
          <w:rFonts w:cs="Tahoma"/>
          <w:szCs w:val="20"/>
        </w:rPr>
        <w:t xml:space="preserve"> Alimentação e Bebidas (3,72%), Habitação (3,72%) e Transportes (2,09%), o que corrobora a desaceleração verificada frente a idêntico período de 2023.</w:t>
      </w:r>
    </w:p>
    <w:p w:rsidR="00FE132C" w:rsidRPr="00FE132C" w:rsidRDefault="00FE132C" w:rsidP="00D93366">
      <w:pPr>
        <w:spacing w:after="120"/>
        <w:ind w:firstLine="709"/>
        <w:jc w:val="both"/>
        <w:rPr>
          <w:rFonts w:cs="Tahoma"/>
          <w:szCs w:val="20"/>
        </w:rPr>
      </w:pPr>
      <w:r w:rsidRPr="00FE132C">
        <w:rPr>
          <w:rFonts w:cs="Tahoma"/>
          <w:szCs w:val="20"/>
        </w:rPr>
        <w:t xml:space="preserve">No geral, a boa performance da safra brasileira mesmo em meio às adversidades climáticas vividas no Brasil - enchentes no Rio Grande Sul e estiagem em diversos outros estados - ajudou a conter os preços dos alimentos. Na comparação com o ano passado, a estimativa é de redução de 21 milhões de toneladas na safra de grãos, contudo, mesmo assim não implicando crise de oferta no mercado doméstico. No mesmo sentido, a melhora da situação hídrica no país reduziu a vigência de bandeiras tarifárias mais onerosas no setor elétrico, diminuindo a pressão sobre as tarifas e corroborando a menor variação de preços verificada no grupo Habitação. Já de parte do grupo Transportes, a continuidade na moderação dos preços internacionais das commodities, em especial </w:t>
      </w:r>
      <w:r w:rsidRPr="00FE132C">
        <w:rPr>
          <w:rFonts w:cs="Tahoma"/>
          <w:szCs w:val="20"/>
        </w:rPr>
        <w:lastRenderedPageBreak/>
        <w:t>do petróleo, favoreceu uma maior estabilidade nos preços dos combustíveis, explicando a pequena variação deste grupo frente aos demais segmentos pesquisados pelo IBGE.</w:t>
      </w:r>
    </w:p>
    <w:p w:rsidR="00FE132C" w:rsidRPr="00FE132C" w:rsidRDefault="00FE132C" w:rsidP="000C021C">
      <w:pPr>
        <w:pStyle w:val="Ttulo2"/>
        <w:rPr>
          <w:rFonts w:ascii="Tahoma" w:hAnsi="Tahoma" w:cs="Tahoma"/>
          <w:b/>
          <w:sz w:val="20"/>
          <w:szCs w:val="20"/>
        </w:rPr>
      </w:pPr>
      <w:bookmarkStart w:id="17" w:name="_Toc181778165"/>
      <w:r w:rsidRPr="000C021C">
        <w:rPr>
          <w:rFonts w:ascii="Tahoma" w:hAnsi="Tahoma" w:cs="Tahoma"/>
          <w:b/>
          <w:color w:val="auto"/>
          <w:sz w:val="20"/>
          <w:szCs w:val="20"/>
        </w:rPr>
        <w:t>Atividade Econômica e Produto Interno Bruto</w:t>
      </w:r>
      <w:bookmarkEnd w:id="17"/>
    </w:p>
    <w:p w:rsidR="00FE132C" w:rsidRPr="00FE132C" w:rsidRDefault="00FE132C" w:rsidP="00D93366">
      <w:pPr>
        <w:spacing w:after="120"/>
        <w:ind w:firstLine="709"/>
        <w:jc w:val="both"/>
        <w:rPr>
          <w:rFonts w:cs="Tahoma"/>
          <w:szCs w:val="20"/>
        </w:rPr>
      </w:pPr>
      <w:r w:rsidRPr="00FE132C">
        <w:rPr>
          <w:rFonts w:cs="Tahoma"/>
          <w:szCs w:val="20"/>
        </w:rPr>
        <w:t>Durante os 03 anos que antecederam a pandemia (2017 a 2019), o Produto Interno Bruto (PIB) brasileiro cresceu a taxas módicas, pouco superiores a 1%, mantendo um ritmo de recuperação abaixo das necessidades do país, haja vista a significativa retração ocorrida entre os anos de 2015 e 2016, período em que a economia doméstica encolheu -7,8%.</w:t>
      </w:r>
    </w:p>
    <w:p w:rsidR="00FE132C" w:rsidRPr="00FE132C" w:rsidRDefault="00FE132C" w:rsidP="00D93366">
      <w:pPr>
        <w:spacing w:after="120"/>
        <w:ind w:firstLine="709"/>
        <w:jc w:val="both"/>
        <w:rPr>
          <w:rFonts w:cs="Tahoma"/>
          <w:szCs w:val="20"/>
        </w:rPr>
      </w:pPr>
      <w:r w:rsidRPr="00FE132C">
        <w:rPr>
          <w:rFonts w:cs="Tahoma"/>
          <w:szCs w:val="20"/>
        </w:rPr>
        <w:t>Em 2020, o advento da pandemia e a conseguinte paralisação de boa parte das atividades econômicas rechaçou qualquer possibilidade de crescimento. Com efeito, a partir de março daquele ano, as tímidas expectativas de expansão da economia foram rapidamente substituídas por uma nova e severa previsão de queda, com o PIB perfazendo uma variação negativa de -4,1% ao final do período.</w:t>
      </w:r>
    </w:p>
    <w:p w:rsidR="00FE132C" w:rsidRPr="00FE132C" w:rsidRDefault="00FE132C" w:rsidP="00D93366">
      <w:pPr>
        <w:spacing w:after="120"/>
        <w:ind w:firstLine="709"/>
        <w:jc w:val="both"/>
        <w:rPr>
          <w:rFonts w:cs="Tahoma"/>
          <w:szCs w:val="20"/>
        </w:rPr>
      </w:pPr>
      <w:r w:rsidRPr="00FE132C">
        <w:rPr>
          <w:rFonts w:cs="Tahoma"/>
          <w:szCs w:val="20"/>
        </w:rPr>
        <w:t>Já em 2021, a evolução positiva do programa de imunizações, tanto em percentual de brasileiros vacinados como no que se refere à efetiva redução de óbitos e internações, permitiram aos governos subnacionais flexibilizarem as regras de distanciamento social, tendo como consequência a retomada de diversas atividades econômicas e um maior otimismo em relação ao PIB. No decorrer do ano, as estimativas chegaram a indicar uma expansão superior a 5%, todavia, o in</w:t>
      </w:r>
      <w:r w:rsidR="00801158">
        <w:rPr>
          <w:rFonts w:cs="Tahoma"/>
          <w:szCs w:val="20"/>
        </w:rPr>
        <w:t>í</w:t>
      </w:r>
      <w:r w:rsidRPr="00FE132C">
        <w:rPr>
          <w:rFonts w:cs="Tahoma"/>
          <w:szCs w:val="20"/>
        </w:rPr>
        <w:t>cio do ciclo de alta da Selic diminuiu o ritmo da recuperação projetada, com o PIB fechando 2021 perfazendo alta de 4,6%.</w:t>
      </w:r>
    </w:p>
    <w:p w:rsidR="00FE132C" w:rsidRPr="00FE132C" w:rsidRDefault="00FE132C" w:rsidP="00D93366">
      <w:pPr>
        <w:spacing w:after="120"/>
        <w:ind w:firstLine="709"/>
        <w:jc w:val="both"/>
        <w:rPr>
          <w:rFonts w:cs="Tahoma"/>
          <w:szCs w:val="20"/>
        </w:rPr>
      </w:pPr>
      <w:r w:rsidRPr="00FE132C">
        <w:rPr>
          <w:rFonts w:cs="Tahoma"/>
          <w:szCs w:val="20"/>
        </w:rPr>
        <w:t>Na esteira do ciclo de alta da Selic e do respectivo aperto das condições monetárias e de inflação, as previsões iniciais para 2022 indicavam um tímido crescimento econômico, estimando-se uma variação do PIB próxima a apenas 0,3%. No entanto, puxad</w:t>
      </w:r>
      <w:r w:rsidR="00801158">
        <w:rPr>
          <w:rFonts w:cs="Tahoma"/>
          <w:szCs w:val="20"/>
        </w:rPr>
        <w:t>a</w:t>
      </w:r>
      <w:r w:rsidRPr="00FE132C">
        <w:rPr>
          <w:rFonts w:cs="Tahoma"/>
          <w:szCs w:val="20"/>
        </w:rPr>
        <w:t xml:space="preserve"> pela indústria (1,6%) e, principalmente, pelo setor de serviços (4,2%), que já responde por 68,5% do PIB brasileiro, a atividade econômica surpreendeu em 2022, crescendo 2,9% e ficando em linha com a média do crescimento global aferido no ano passado. </w:t>
      </w:r>
    </w:p>
    <w:p w:rsidR="00FE132C" w:rsidRPr="00FE132C" w:rsidRDefault="00FE132C" w:rsidP="00D93366">
      <w:pPr>
        <w:spacing w:after="120"/>
        <w:ind w:firstLine="709"/>
        <w:jc w:val="both"/>
        <w:rPr>
          <w:rFonts w:cs="Tahoma"/>
          <w:szCs w:val="20"/>
        </w:rPr>
      </w:pPr>
      <w:r w:rsidRPr="00FE132C">
        <w:rPr>
          <w:rFonts w:cs="Tahoma"/>
          <w:szCs w:val="20"/>
        </w:rPr>
        <w:t>Não obstante, as primeiras projeções para 2023 praticamente migraram o pessimismo in</w:t>
      </w:r>
      <w:r w:rsidR="00481984">
        <w:rPr>
          <w:rFonts w:cs="Tahoma"/>
          <w:szCs w:val="20"/>
        </w:rPr>
        <w:t>i</w:t>
      </w:r>
      <w:r w:rsidRPr="00FE132C">
        <w:rPr>
          <w:rFonts w:cs="Tahoma"/>
          <w:szCs w:val="20"/>
        </w:rPr>
        <w:t>cialmente estimado para 2022. A pol</w:t>
      </w:r>
      <w:r w:rsidR="00481984">
        <w:rPr>
          <w:rFonts w:cs="Tahoma"/>
          <w:szCs w:val="20"/>
        </w:rPr>
        <w:t>í</w:t>
      </w:r>
      <w:r w:rsidRPr="00FE132C">
        <w:rPr>
          <w:rFonts w:cs="Tahoma"/>
          <w:szCs w:val="20"/>
        </w:rPr>
        <w:t>tica monetária contracionista vigente à época permeou as expectativas do mercado, que no começo do ano passado estimava um crescimento próximo de apenas 1% para 2023. No entanto, repetindo 2022, a atividade econômica voltou a mostrar resiliência, conduzindo o PIB brasileiro a uma expansão de 2,9% no período.</w:t>
      </w:r>
    </w:p>
    <w:p w:rsidR="00FE132C" w:rsidRPr="00FE132C" w:rsidRDefault="00FE132C" w:rsidP="00D93366">
      <w:pPr>
        <w:spacing w:after="120"/>
        <w:ind w:firstLine="709"/>
        <w:jc w:val="both"/>
        <w:rPr>
          <w:rFonts w:cs="Tahoma"/>
          <w:szCs w:val="20"/>
        </w:rPr>
      </w:pPr>
      <w:r w:rsidRPr="00FE132C">
        <w:rPr>
          <w:rFonts w:cs="Tahoma"/>
          <w:szCs w:val="20"/>
        </w:rPr>
        <w:t>Em 2024, o cenário praticamente se repete. Em que pese a expectativa de queda dos juros estar presente desde o começo do ano, as projeções iniciais de PIB para o corrente exercício indicavam um crescimento em torno de apenas 1,5%. Todavia, puxad</w:t>
      </w:r>
      <w:r w:rsidR="00481984">
        <w:rPr>
          <w:rFonts w:cs="Tahoma"/>
          <w:szCs w:val="20"/>
        </w:rPr>
        <w:t>a</w:t>
      </w:r>
      <w:r w:rsidRPr="00FE132C">
        <w:rPr>
          <w:rFonts w:cs="Tahoma"/>
          <w:szCs w:val="20"/>
        </w:rPr>
        <w:t xml:space="preserve"> pelo consumo das famílias e pelo satisfatório desempenho do mercado de trabalho, a economia doméstica mais uma vez se mostrou resiliente, aumentando o otimismo do mercado a partir das taxas mensalmente aferidas pelo IBC-Br, índice conhecido como uma prévia do PIB oficial do país.</w:t>
      </w:r>
    </w:p>
    <w:p w:rsidR="00FE132C" w:rsidRDefault="00FE132C" w:rsidP="00D93366">
      <w:pPr>
        <w:spacing w:after="120"/>
        <w:ind w:firstLine="709"/>
        <w:jc w:val="both"/>
        <w:rPr>
          <w:rFonts w:cs="Tahoma"/>
          <w:szCs w:val="20"/>
        </w:rPr>
      </w:pPr>
      <w:r w:rsidRPr="00FE132C">
        <w:rPr>
          <w:rFonts w:cs="Tahoma"/>
          <w:szCs w:val="20"/>
        </w:rPr>
        <w:t>As últimas pesquisas Focus têm indicado um crescimento próximo a 3% para 2024, ficando em linha com as recentes projeções publicadas tanto pela OCDE como pelo FMI.</w:t>
      </w:r>
    </w:p>
    <w:p w:rsidR="00FE132C" w:rsidRDefault="00FE132C" w:rsidP="00FE132C">
      <w:pPr>
        <w:spacing w:after="120"/>
        <w:ind w:firstLine="709"/>
        <w:rPr>
          <w:rFonts w:cs="Tahoma"/>
          <w:szCs w:val="20"/>
        </w:rPr>
      </w:pPr>
      <w:r w:rsidRPr="002150E6">
        <w:rPr>
          <w:noProof/>
        </w:rPr>
        <w:lastRenderedPageBreak/>
        <w:drawing>
          <wp:inline distT="0" distB="0" distL="0" distR="0">
            <wp:extent cx="4706360" cy="1981822"/>
            <wp:effectExtent l="0" t="0" r="18415" b="19050"/>
            <wp:docPr id="6"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FE132C" w:rsidRPr="0054000D" w:rsidRDefault="00FE132C" w:rsidP="00FE132C">
      <w:pPr>
        <w:spacing w:after="0" w:line="240" w:lineRule="auto"/>
        <w:ind w:left="709"/>
        <w:jc w:val="both"/>
        <w:rPr>
          <w:rFonts w:ascii="Tahoma" w:hAnsi="Tahoma" w:cs="Tahoma"/>
          <w:b/>
          <w:bCs/>
          <w:sz w:val="14"/>
          <w:szCs w:val="14"/>
        </w:rPr>
      </w:pPr>
      <w:r w:rsidRPr="0054000D">
        <w:rPr>
          <w:rFonts w:ascii="Tahoma" w:hAnsi="Tahoma" w:cs="Tahoma"/>
          <w:b/>
          <w:bCs/>
          <w:sz w:val="14"/>
          <w:szCs w:val="14"/>
        </w:rPr>
        <w:t>Gráfico 5 - Série Histórica a preços de mercado PIB (%)</w:t>
      </w:r>
    </w:p>
    <w:p w:rsidR="00FE132C" w:rsidRPr="0054000D" w:rsidRDefault="00FE132C" w:rsidP="00FE132C">
      <w:pPr>
        <w:spacing w:after="0" w:line="240" w:lineRule="auto"/>
        <w:ind w:left="709"/>
        <w:jc w:val="both"/>
        <w:rPr>
          <w:rFonts w:ascii="Tahoma" w:hAnsi="Tahoma" w:cs="Tahoma"/>
          <w:sz w:val="12"/>
          <w:szCs w:val="14"/>
        </w:rPr>
      </w:pPr>
      <w:r w:rsidRPr="0054000D">
        <w:rPr>
          <w:rFonts w:ascii="Tahoma" w:hAnsi="Tahoma" w:cs="Tahoma"/>
          <w:sz w:val="12"/>
          <w:szCs w:val="14"/>
        </w:rPr>
        <w:t>Fonte: IBGE.</w:t>
      </w:r>
    </w:p>
    <w:p w:rsidR="00FE132C" w:rsidRPr="0054000D" w:rsidRDefault="00FE132C" w:rsidP="00FE132C">
      <w:pPr>
        <w:spacing w:after="0" w:line="240" w:lineRule="auto"/>
        <w:ind w:left="709"/>
        <w:jc w:val="both"/>
        <w:rPr>
          <w:rFonts w:ascii="Tahoma" w:hAnsi="Tahoma" w:cs="Tahoma"/>
          <w:sz w:val="12"/>
          <w:szCs w:val="14"/>
        </w:rPr>
      </w:pPr>
      <w:r w:rsidRPr="0054000D">
        <w:rPr>
          <w:rFonts w:ascii="Tahoma" w:hAnsi="Tahoma" w:cs="Tahoma"/>
          <w:sz w:val="12"/>
          <w:szCs w:val="14"/>
        </w:rPr>
        <w:t>(*) Projeções da Pesquisa Focus de 25/10/2024.</w:t>
      </w:r>
    </w:p>
    <w:p w:rsidR="00FE132C" w:rsidRDefault="00FE132C" w:rsidP="00FE132C">
      <w:pPr>
        <w:spacing w:after="120"/>
        <w:ind w:firstLine="709"/>
        <w:rPr>
          <w:rFonts w:cs="Tahoma"/>
          <w:szCs w:val="20"/>
        </w:rPr>
      </w:pPr>
    </w:p>
    <w:p w:rsidR="00FE132C" w:rsidRPr="00FE132C" w:rsidRDefault="00FE132C" w:rsidP="00D93366">
      <w:pPr>
        <w:spacing w:after="120"/>
        <w:ind w:firstLine="709"/>
        <w:jc w:val="both"/>
        <w:rPr>
          <w:rFonts w:cs="Tahoma"/>
          <w:szCs w:val="20"/>
        </w:rPr>
      </w:pPr>
      <w:r w:rsidRPr="00FE132C">
        <w:rPr>
          <w:rFonts w:cs="Tahoma"/>
          <w:szCs w:val="20"/>
        </w:rPr>
        <w:t>Já para 2025, o otimismo é um pouco menor, contudo, acima das já referidas projeções inicialmente realizadas para os últimos 03 (três) anos. De olho no desequilíbrio das contas públicas, o mercado vislumbra um diminuto espaço fiscal para o governo seguir ampliando os programas sociais em curso, o que tenderia a diminuir o ímpeto do mercado de trabalho. Além disso, a retomada da alta dos juros em 2024 e a redução da perspectiva de queda dos mesmos para o próximo ano também passaram a afetar negativamente as projeções de PIB para 2025. Em regra, juros mais altos encarecem o custo de captação das empresas, inibindo o investimento e criando restrições ao crédito também para as pessoas físicas, ou seja, prejudicando o PIB tanto pelo lado da oferta como pela demanda.</w:t>
      </w:r>
    </w:p>
    <w:p w:rsidR="00FE132C" w:rsidRPr="00FE132C" w:rsidRDefault="00FE132C" w:rsidP="00D93366">
      <w:pPr>
        <w:spacing w:after="120"/>
        <w:ind w:firstLine="709"/>
        <w:jc w:val="both"/>
        <w:rPr>
          <w:rFonts w:cs="Tahoma"/>
          <w:szCs w:val="20"/>
        </w:rPr>
      </w:pPr>
      <w:r w:rsidRPr="00FE132C">
        <w:rPr>
          <w:rFonts w:cs="Tahoma"/>
          <w:szCs w:val="20"/>
        </w:rPr>
        <w:t xml:space="preserve">Nesse sentido, registra-se que as últimas Pesquisas Focus têm indicado crescimento levemente inferior a 2% para o próximo ano (1,93%), denotando um maior pessimismo em relação ao estimado tanto pelo FMI como pela OCDE, que projetam respectivas expansões do PIB da ordem de 2,2% e 2,6%. A continuidade da participação privada na infraestrutura brasileira pode se constituir em uma das mais importantes formas de manutenção do investimento em 2025, sobretudo no setor de saneamento, onde a necessidade de universalização dos serviços de água e esgoto tem implicado diversas desestatizações no país. Além disso, eventual sucesso do governo no controle das contas públicas diminuiria a percepção de risco do investidor estrangeiro, reduzindo a evasão de recursos e beneficiando diretamente o câmbio, com respectiva repercussão positiva sobre as projeções de inflação e PIB.  </w:t>
      </w:r>
    </w:p>
    <w:p w:rsidR="00FE132C" w:rsidRDefault="00FE132C" w:rsidP="00D93366">
      <w:pPr>
        <w:spacing w:after="120"/>
        <w:ind w:firstLine="709"/>
        <w:jc w:val="both"/>
        <w:rPr>
          <w:rFonts w:cs="Tahoma"/>
          <w:szCs w:val="20"/>
        </w:rPr>
      </w:pPr>
      <w:r w:rsidRPr="00FE132C">
        <w:rPr>
          <w:rFonts w:cs="Tahoma"/>
          <w:szCs w:val="20"/>
        </w:rPr>
        <w:t>Por fim, destaca-se que o já tradicional estudo organizado pela agência nacional de classificação de riscos</w:t>
      </w:r>
      <w:r w:rsidR="00481984">
        <w:rPr>
          <w:rFonts w:cs="Tahoma"/>
          <w:szCs w:val="20"/>
        </w:rPr>
        <w:t>,</w:t>
      </w:r>
      <w:r w:rsidRPr="00FE132C">
        <w:rPr>
          <w:rFonts w:cs="Tahoma"/>
          <w:szCs w:val="20"/>
        </w:rPr>
        <w:t xml:space="preserve"> Austin Ratings, comparando o PIB das maiores economias do mundo, colocou o Brasil na vice liderança do ranking do segundo trimestre de 2024, registrando alta de 1,4%.</w:t>
      </w:r>
    </w:p>
    <w:p w:rsidR="00FE132C" w:rsidRDefault="00FE132C" w:rsidP="00AD12FB">
      <w:pPr>
        <w:spacing w:after="120"/>
        <w:ind w:firstLine="709"/>
        <w:rPr>
          <w:rFonts w:cs="Tahoma"/>
          <w:szCs w:val="20"/>
        </w:rPr>
      </w:pPr>
    </w:p>
    <w:p w:rsidR="007D4405" w:rsidRDefault="007D4405" w:rsidP="00AD12FB">
      <w:pPr>
        <w:spacing w:after="120"/>
        <w:ind w:firstLine="709"/>
        <w:rPr>
          <w:rFonts w:cs="Tahoma"/>
          <w:szCs w:val="20"/>
        </w:rPr>
      </w:pPr>
    </w:p>
    <w:p w:rsidR="007D4405" w:rsidRDefault="007D4405" w:rsidP="00AD12FB">
      <w:pPr>
        <w:spacing w:after="120"/>
        <w:ind w:firstLine="709"/>
        <w:rPr>
          <w:rFonts w:cs="Tahoma"/>
          <w:szCs w:val="20"/>
        </w:rPr>
      </w:pPr>
    </w:p>
    <w:p w:rsidR="007D4405" w:rsidRDefault="007D4405" w:rsidP="00AD12FB">
      <w:pPr>
        <w:spacing w:after="120"/>
        <w:ind w:firstLine="709"/>
        <w:rPr>
          <w:rFonts w:cs="Tahoma"/>
          <w:szCs w:val="20"/>
        </w:rPr>
      </w:pPr>
    </w:p>
    <w:p w:rsidR="00FE132C" w:rsidRDefault="00FE132C" w:rsidP="00AD12FB">
      <w:pPr>
        <w:spacing w:after="120"/>
        <w:ind w:firstLine="709"/>
      </w:pPr>
    </w:p>
    <w:bookmarkStart w:id="18" w:name="_Toc181778166"/>
    <w:p w:rsidR="00BF5BF7" w:rsidRPr="00ED4208" w:rsidRDefault="00AD12FB" w:rsidP="000C021C">
      <w:pPr>
        <w:pStyle w:val="Ttulo1"/>
        <w:rPr>
          <w:b w:val="0"/>
          <w:color w:val="17365D" w:themeColor="text2" w:themeShade="BF"/>
          <w:u w:val="single"/>
        </w:rPr>
      </w:pPr>
      <w:r w:rsidRPr="00E4782B">
        <w:object w:dxaOrig="2425" w:dyaOrig="2598">
          <v:shape id="_x0000_i1063" type="#_x0000_t75" style="width:9.4pt;height:8.15pt" o:ole="">
            <v:imagedata r:id="rId8" o:title=""/>
          </v:shape>
          <o:OLEObject Type="Embed" ProgID="CorelDRAW.Graphic.13" ShapeID="_x0000_i1063" DrawAspect="Content" ObjectID="_1792498599" r:id="rId54"/>
        </w:object>
      </w:r>
      <w:r w:rsidR="00BF5BF7" w:rsidRPr="000C021C">
        <w:rPr>
          <w:rStyle w:val="Ttulo1Char"/>
          <w:b/>
          <w:bCs/>
          <w:sz w:val="22"/>
          <w:szCs w:val="22"/>
        </w:rPr>
        <w:t>EXPECTATIVAS DO MERCADO FINANCEIRO 202</w:t>
      </w:r>
      <w:r w:rsidR="00E16EDA" w:rsidRPr="000C021C">
        <w:rPr>
          <w:rStyle w:val="Ttulo1Char"/>
          <w:b/>
          <w:bCs/>
          <w:sz w:val="22"/>
          <w:szCs w:val="22"/>
        </w:rPr>
        <w:t>5</w:t>
      </w:r>
      <w:r w:rsidR="00BF5BF7" w:rsidRPr="000C021C">
        <w:rPr>
          <w:rStyle w:val="Ttulo1Char"/>
          <w:b/>
          <w:bCs/>
          <w:sz w:val="22"/>
          <w:szCs w:val="22"/>
        </w:rPr>
        <w:t xml:space="preserve"> - BRASIL</w:t>
      </w:r>
      <w:bookmarkEnd w:id="13"/>
      <w:bookmarkEnd w:id="18"/>
      <w:r w:rsidR="00BF5BF7" w:rsidRPr="00ED4208">
        <w:rPr>
          <w:color w:val="17365D" w:themeColor="text2" w:themeShade="BF"/>
          <w:sz w:val="30"/>
          <w:szCs w:val="30"/>
        </w:rPr>
        <w:object w:dxaOrig="3163" w:dyaOrig="3187">
          <v:shape id="_x0000_i1064" type="#_x0000_t75" style="width:21.9pt;height:23.15pt" o:ole="">
            <v:imagedata r:id="rId10" o:title=""/>
          </v:shape>
          <o:OLEObject Type="Embed" ProgID="CorelDRAW.Graphic.13" ShapeID="_x0000_i1064" DrawAspect="Content" ObjectID="_1792498600" r:id="rId55"/>
        </w:object>
      </w:r>
    </w:p>
    <w:p w:rsidR="002B3FE6" w:rsidRDefault="002B3FE6" w:rsidP="00AD12FB">
      <w:pPr>
        <w:pStyle w:val="Ttulo2"/>
        <w:ind w:firstLine="709"/>
        <w:rPr>
          <w:b/>
          <w:bCs/>
          <w:color w:val="auto"/>
          <w:sz w:val="24"/>
          <w:szCs w:val="24"/>
        </w:rPr>
      </w:pPr>
      <w:bookmarkStart w:id="19" w:name="_Toc436040841"/>
    </w:p>
    <w:p w:rsidR="003F013F" w:rsidRDefault="003F013F" w:rsidP="002B3FE6">
      <w:pPr>
        <w:pStyle w:val="Ttulo2"/>
        <w:spacing w:before="120"/>
        <w:rPr>
          <w:b/>
          <w:bCs/>
          <w:color w:val="auto"/>
          <w:sz w:val="24"/>
          <w:szCs w:val="24"/>
        </w:rPr>
      </w:pPr>
      <w:bookmarkStart w:id="20" w:name="_Toc181778167"/>
      <w:r w:rsidRPr="003F013F">
        <w:rPr>
          <w:b/>
          <w:bCs/>
          <w:color w:val="auto"/>
          <w:sz w:val="24"/>
          <w:szCs w:val="24"/>
        </w:rPr>
        <w:t>Renda Fixa</w:t>
      </w:r>
      <w:bookmarkEnd w:id="19"/>
      <w:bookmarkEnd w:id="20"/>
    </w:p>
    <w:p w:rsidR="003F013F" w:rsidRPr="002B3FE6" w:rsidRDefault="003F013F" w:rsidP="002B3FE6">
      <w:pPr>
        <w:tabs>
          <w:tab w:val="left" w:pos="284"/>
        </w:tabs>
        <w:spacing w:before="120"/>
        <w:rPr>
          <w:rFonts w:ascii="Tahoma" w:hAnsi="Tahoma" w:cs="Tahoma"/>
          <w:b/>
          <w:sz w:val="20"/>
          <w:szCs w:val="20"/>
        </w:rPr>
      </w:pPr>
      <w:r w:rsidRPr="002B3FE6">
        <w:rPr>
          <w:rFonts w:ascii="Tahoma" w:hAnsi="Tahoma" w:cs="Tahoma"/>
          <w:b/>
          <w:sz w:val="20"/>
          <w:szCs w:val="20"/>
        </w:rPr>
        <w:t>Breve Histórico 2020-202</w:t>
      </w:r>
      <w:r w:rsidR="00D31186" w:rsidRPr="002B3FE6">
        <w:rPr>
          <w:rFonts w:ascii="Tahoma" w:hAnsi="Tahoma" w:cs="Tahoma"/>
          <w:b/>
          <w:sz w:val="20"/>
          <w:szCs w:val="20"/>
        </w:rPr>
        <w:t>3</w:t>
      </w:r>
    </w:p>
    <w:p w:rsidR="002B3FE6" w:rsidRPr="002B3FE6" w:rsidRDefault="002B3FE6" w:rsidP="00D93366">
      <w:pPr>
        <w:spacing w:after="120"/>
        <w:ind w:firstLine="709"/>
        <w:jc w:val="both"/>
        <w:rPr>
          <w:rFonts w:cs="Tahoma"/>
          <w:szCs w:val="20"/>
        </w:rPr>
      </w:pPr>
      <w:r w:rsidRPr="002B3FE6">
        <w:rPr>
          <w:rFonts w:cs="Tahoma"/>
          <w:szCs w:val="20"/>
        </w:rPr>
        <w:t>As incertezas trazidas pela pandemia do novo coronavírus alteraram radicalmente o comportamento previsto para 2020, com a busca de uma maior segurança pelos investidores estrangeiros ocasionando uma massiva saída líquida de recursos do país. Além das incertezas naturalmente advindas da pandemia, o agravamento da situação fiscal decorrente das políticas emergenciais de incentivo lançadas pelo Governo, também aumentaram a percepção de risco dos investidores. Por conseguinte, mesmo com uma taxa Selic atingindo sua mínima histórica, os indicadores anexados aos ativos de maior prazo registraram grande volatilidade no período, com a maioria dos indicadores IMA deixando de cumprir a meta atuarial ao final do exercício.</w:t>
      </w:r>
      <w:r w:rsidRPr="002B3FE6">
        <w:rPr>
          <w:rFonts w:cs="Tahoma"/>
          <w:szCs w:val="20"/>
        </w:rPr>
        <w:tab/>
      </w:r>
    </w:p>
    <w:p w:rsidR="002B3FE6" w:rsidRPr="002B3FE6" w:rsidRDefault="002B3FE6" w:rsidP="00D93366">
      <w:pPr>
        <w:spacing w:after="120"/>
        <w:ind w:firstLine="709"/>
        <w:jc w:val="both"/>
        <w:rPr>
          <w:rFonts w:cs="Tahoma"/>
          <w:szCs w:val="20"/>
        </w:rPr>
      </w:pPr>
      <w:r w:rsidRPr="002B3FE6">
        <w:rPr>
          <w:rFonts w:cs="Tahoma"/>
          <w:szCs w:val="20"/>
        </w:rPr>
        <w:t xml:space="preserve">O ano de 2021, por sua vez, foi marcado pelo início das vacinações no país, que trouxeram consigo a expectativa da retomada de diversas atividades econômicas paralelamente à melhoria das condições sanitárias. No geral, o cenário no começo do ano indicava boa perspectiva de recuperação do PIB, inflação abaixo do centro da meta (3,5%) e uma taxa Selic chegando ao máximo a 4,5%, perspectivas estas que endereçavam um 2021 mais tranquilo para o segmento de renda fixa, com menor volatilidade e possível cumprimento das metas atuariais.  </w:t>
      </w:r>
    </w:p>
    <w:p w:rsidR="002B3FE6" w:rsidRPr="002B3FE6" w:rsidRDefault="002B3FE6" w:rsidP="00D93366">
      <w:pPr>
        <w:spacing w:after="120"/>
        <w:ind w:firstLine="709"/>
        <w:jc w:val="both"/>
        <w:rPr>
          <w:rFonts w:cs="Tahoma"/>
          <w:szCs w:val="20"/>
        </w:rPr>
      </w:pPr>
      <w:r w:rsidRPr="002B3FE6">
        <w:rPr>
          <w:rFonts w:cs="Tahoma"/>
          <w:szCs w:val="20"/>
        </w:rPr>
        <w:t>Todavia, embora o programa de vacinações tenha de fato avançado em nível bem superior a média das economias em desenvolvimento, surtindo resultados altamente positivos e possibilitando a flexibilização das medidas de distanciamento social, a aceleração inflacionária ocorrida no período exigiu mudanças na condução da política monetária, com a alta da taxa Selic superando com folga a máxima inicialmente projetada.</w:t>
      </w:r>
    </w:p>
    <w:p w:rsidR="002B3FE6" w:rsidRPr="002B3FE6" w:rsidRDefault="002B3FE6" w:rsidP="00D93366">
      <w:pPr>
        <w:spacing w:after="120"/>
        <w:ind w:firstLine="709"/>
        <w:jc w:val="both"/>
        <w:rPr>
          <w:rFonts w:cs="Tahoma"/>
          <w:szCs w:val="20"/>
        </w:rPr>
      </w:pPr>
      <w:r w:rsidRPr="002B3FE6">
        <w:rPr>
          <w:rFonts w:cs="Tahoma"/>
          <w:szCs w:val="20"/>
        </w:rPr>
        <w:t xml:space="preserve">Em consequência disso, houve grande desvalorização das carteiras indexadas aos títulos de maior prazo marcados a mercado, tanto dos pré-fixados, atrelados a índices de preços (NTN-Bs), como dos pós-fixados (LFTs), corrigidos pela Selic. Ainda no campo das incertezas, a situação fiscal mais uma vez aumentou a aversão ao risco do investidor estrangeiro, cujas operações, mesmo tendo apresentado melhora em relação a 2020, voltaram a registrar saída líquida de recursos do país. Como resultado dessa conjuntura, o ano de 2021 foi marcado por um mau desempenho dos indicadores IMA. Enquanto os subíndices atrelados aos papéis de maior </w:t>
      </w:r>
      <w:r w:rsidRPr="002B3FE6">
        <w:rPr>
          <w:rFonts w:cs="Tahoma"/>
          <w:i/>
          <w:szCs w:val="20"/>
        </w:rPr>
        <w:t>duration</w:t>
      </w:r>
      <w:r w:rsidRPr="002B3FE6">
        <w:rPr>
          <w:rFonts w:cs="Tahoma"/>
          <w:szCs w:val="20"/>
        </w:rPr>
        <w:t xml:space="preserve"> acumularam prejuízos, os títulos de prazos mais curtos encerraram o ano no azul, todavia, perfazendo ganhos insuficientes para cobrirem as metas atuariais. </w:t>
      </w:r>
    </w:p>
    <w:p w:rsidR="002B3FE6" w:rsidRPr="002B3FE6" w:rsidRDefault="002B3FE6" w:rsidP="00D93366">
      <w:pPr>
        <w:spacing w:after="120"/>
        <w:ind w:firstLine="709"/>
        <w:jc w:val="both"/>
        <w:rPr>
          <w:rFonts w:cs="Tahoma"/>
          <w:szCs w:val="20"/>
        </w:rPr>
      </w:pPr>
      <w:r w:rsidRPr="002B3FE6">
        <w:rPr>
          <w:rFonts w:cs="Tahoma"/>
          <w:szCs w:val="20"/>
        </w:rPr>
        <w:t xml:space="preserve">Já em 2022, em meio a continuidade do ciclo de alta da Selic e de uma resiliente inflação, o segmento de renda variável iniciou o ano sob suspeita, com o desempenho de todos os indicadores IMA, sobretudo das carteiras atreladas a ativos de maior prazo, novamente demonstrando dificuldade para o cumprimento de suas metas. </w:t>
      </w:r>
    </w:p>
    <w:p w:rsidR="002B3FE6" w:rsidRPr="002B3FE6" w:rsidRDefault="002B3FE6" w:rsidP="00D93366">
      <w:pPr>
        <w:spacing w:after="120"/>
        <w:ind w:firstLine="709"/>
        <w:jc w:val="both"/>
        <w:rPr>
          <w:rFonts w:cs="Tahoma"/>
          <w:szCs w:val="20"/>
        </w:rPr>
      </w:pPr>
      <w:r w:rsidRPr="002B3FE6">
        <w:rPr>
          <w:rFonts w:cs="Tahoma"/>
          <w:szCs w:val="20"/>
        </w:rPr>
        <w:t xml:space="preserve">Sob um cenário externo também pouco convidativo e carregado de incertezas, os investidores optaram por alocações de menor prazo e maior liquidez ao longo de 2022, razão pela </w:t>
      </w:r>
      <w:r w:rsidRPr="002B3FE6">
        <w:rPr>
          <w:rFonts w:cs="Tahoma"/>
          <w:szCs w:val="20"/>
        </w:rPr>
        <w:lastRenderedPageBreak/>
        <w:t>qual os indicadores associados aos ativos de menor duração registraram maiores ganhos frente às alternativas de prazos mais longos.</w:t>
      </w:r>
    </w:p>
    <w:p w:rsidR="002B3FE6" w:rsidRPr="002B3FE6" w:rsidRDefault="002B3FE6" w:rsidP="00D93366">
      <w:pPr>
        <w:spacing w:after="120"/>
        <w:ind w:firstLine="709"/>
        <w:jc w:val="both"/>
        <w:rPr>
          <w:rFonts w:cs="Tahoma"/>
          <w:szCs w:val="20"/>
        </w:rPr>
      </w:pPr>
      <w:r w:rsidRPr="002B3FE6">
        <w:rPr>
          <w:rFonts w:cs="Tahoma"/>
          <w:szCs w:val="20"/>
        </w:rPr>
        <w:t>Somente a partir de agosto, mês em que o COPOM promoveu a última alta da Selic, com todos agentes de mercado passando a prever queda dos juros a partir de 2023, é que as opções de longo prazo despertaram a preferência dos investidores, implicando retornos superiores ou muito próximos àqueles percebidos pelos ativos de menor prazo.</w:t>
      </w:r>
    </w:p>
    <w:p w:rsidR="002B3FE6" w:rsidRDefault="002B3FE6" w:rsidP="00D93366">
      <w:pPr>
        <w:spacing w:after="120"/>
        <w:ind w:firstLine="709"/>
        <w:jc w:val="both"/>
        <w:rPr>
          <w:rFonts w:cs="Tahoma"/>
          <w:szCs w:val="20"/>
        </w:rPr>
      </w:pPr>
      <w:r w:rsidRPr="002B3FE6">
        <w:rPr>
          <w:rFonts w:cs="Tahoma"/>
          <w:szCs w:val="20"/>
        </w:rPr>
        <w:t>Por conseguinte, o resultado dos indicadores IMA em 202</w:t>
      </w:r>
      <w:r w:rsidR="006F42C2">
        <w:rPr>
          <w:rFonts w:cs="Tahoma"/>
          <w:szCs w:val="20"/>
        </w:rPr>
        <w:t>2</w:t>
      </w:r>
      <w:r w:rsidRPr="002B3FE6">
        <w:rPr>
          <w:rFonts w:cs="Tahoma"/>
          <w:szCs w:val="20"/>
        </w:rPr>
        <w:t xml:space="preserve"> foi significativamente melhor do que em 202</w:t>
      </w:r>
      <w:r w:rsidR="006F42C2">
        <w:rPr>
          <w:rFonts w:cs="Tahoma"/>
          <w:szCs w:val="20"/>
        </w:rPr>
        <w:t>1</w:t>
      </w:r>
      <w:r w:rsidRPr="002B3FE6">
        <w:rPr>
          <w:rFonts w:cs="Tahoma"/>
          <w:szCs w:val="20"/>
        </w:rPr>
        <w:t>, todavia, com apenas os subíndices atrelados aos títulos de curtíssimo prazo ficando acima da meta atuarial, mais especificamente os IMA-S (LFTs remuneradas pela Selic diária) e o IRF-M1 (pré-fixados com prazo não superior a um ano).</w:t>
      </w:r>
    </w:p>
    <w:p w:rsidR="00500468" w:rsidRPr="00500468" w:rsidRDefault="00500468" w:rsidP="00D93366">
      <w:pPr>
        <w:spacing w:after="120"/>
        <w:ind w:firstLine="709"/>
        <w:jc w:val="both"/>
        <w:rPr>
          <w:rFonts w:cs="Tahoma"/>
          <w:szCs w:val="20"/>
        </w:rPr>
      </w:pPr>
      <w:r w:rsidRPr="00500468">
        <w:rPr>
          <w:rFonts w:cs="Tahoma"/>
          <w:szCs w:val="20"/>
        </w:rPr>
        <w:t>Já em 2023, o segmento de renda fixa iniciou o ano maneira análoga aos meses que antecederam o encerramento de 2022. Em meio às incertezas advindas da troca de governo, sobretudo acerca da nova condução da pol</w:t>
      </w:r>
      <w:r w:rsidR="00481984">
        <w:rPr>
          <w:rFonts w:cs="Tahoma"/>
          <w:szCs w:val="20"/>
        </w:rPr>
        <w:t>í</w:t>
      </w:r>
      <w:r w:rsidRPr="00500468">
        <w:rPr>
          <w:rFonts w:cs="Tahoma"/>
          <w:szCs w:val="20"/>
        </w:rPr>
        <w:t xml:space="preserve">tica fiscal do país, os investidores aumentaram sua percepção ao risco frente às pioras nas projeções de inflação e juros vigentes à época. </w:t>
      </w:r>
    </w:p>
    <w:p w:rsidR="00500468" w:rsidRPr="00500468" w:rsidRDefault="00500468" w:rsidP="00D93366">
      <w:pPr>
        <w:spacing w:after="120"/>
        <w:ind w:firstLine="709"/>
        <w:jc w:val="both"/>
        <w:rPr>
          <w:rFonts w:cs="Tahoma"/>
          <w:szCs w:val="20"/>
        </w:rPr>
      </w:pPr>
      <w:r w:rsidRPr="00500468">
        <w:rPr>
          <w:rFonts w:cs="Tahoma"/>
          <w:szCs w:val="20"/>
        </w:rPr>
        <w:t xml:space="preserve">Todavia, a melhora das condições macroeconômicas tanto da economia doméstica como do setor externo alterou o rumo da rentabilidade dos IMAs ao longo do primeiro semestre de 2023, impulsionando a rentabilidade dos ativos de maior prazo. A perspectiva de queda da Selic e a crença no sucesso do novo arcabouço fiscal aumentaram o apetite do mercado por opções de prazos mais alongadas, somando-se a isso a tendência cada </w:t>
      </w:r>
      <w:r w:rsidR="00481984">
        <w:rPr>
          <w:rFonts w:cs="Tahoma"/>
          <w:szCs w:val="20"/>
        </w:rPr>
        <w:t xml:space="preserve">vez </w:t>
      </w:r>
      <w:r w:rsidRPr="00500468">
        <w:rPr>
          <w:rFonts w:cs="Tahoma"/>
          <w:szCs w:val="20"/>
        </w:rPr>
        <w:t>mais iminente de queda dos juros norte americanos.</w:t>
      </w:r>
    </w:p>
    <w:p w:rsidR="00500468" w:rsidRPr="002B3FE6" w:rsidRDefault="00500468" w:rsidP="00D93366">
      <w:pPr>
        <w:spacing w:after="120"/>
        <w:ind w:firstLine="709"/>
        <w:jc w:val="both"/>
        <w:rPr>
          <w:rFonts w:cs="Tahoma"/>
          <w:szCs w:val="20"/>
        </w:rPr>
      </w:pPr>
      <w:r w:rsidRPr="00500468">
        <w:rPr>
          <w:rFonts w:cs="Tahoma"/>
          <w:szCs w:val="20"/>
        </w:rPr>
        <w:t>No segundo semestre houve alteração nas expectativas, quando a predileção por ativos de prazos mais curto</w:t>
      </w:r>
      <w:r w:rsidR="00481984">
        <w:rPr>
          <w:rFonts w:cs="Tahoma"/>
          <w:szCs w:val="20"/>
        </w:rPr>
        <w:t>s</w:t>
      </w:r>
      <w:r w:rsidRPr="00500468">
        <w:rPr>
          <w:rFonts w:cs="Tahoma"/>
          <w:szCs w:val="20"/>
        </w:rPr>
        <w:t xml:space="preserve"> aumentou em função do maior risco percebido pelos agentes econômicos. Possíveis mudanças de rota em termos de juros e inflação corroboraram tal instabilidade, contudo, sem implicar prejuízo ao atingimento das metas atuariais, uma vez que todos os indicadores IMA superaram os referenciais de mercado no período.</w:t>
      </w:r>
    </w:p>
    <w:p w:rsidR="002B3FE6" w:rsidRPr="002B3FE6" w:rsidRDefault="00500468" w:rsidP="002B3FE6">
      <w:pPr>
        <w:pStyle w:val="PargrafodaLista"/>
        <w:spacing w:after="0"/>
        <w:rPr>
          <w:rFonts w:cs="Tahoma"/>
          <w:szCs w:val="20"/>
        </w:rPr>
      </w:pPr>
      <w:r w:rsidRPr="002150E6">
        <w:rPr>
          <w:noProof/>
        </w:rPr>
        <w:drawing>
          <wp:inline distT="0" distB="0" distL="0" distR="0">
            <wp:extent cx="4646644" cy="1836264"/>
            <wp:effectExtent l="0" t="0" r="20955" b="12065"/>
            <wp:docPr id="7" name="Gráfico 7"/>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2B3FE6" w:rsidRPr="0054000D" w:rsidRDefault="002B3FE6" w:rsidP="00DA7372">
      <w:pPr>
        <w:spacing w:after="0" w:line="240" w:lineRule="auto"/>
        <w:ind w:left="851"/>
        <w:jc w:val="both"/>
        <w:rPr>
          <w:rFonts w:ascii="Tahoma" w:hAnsi="Tahoma" w:cs="Tahoma"/>
          <w:b/>
          <w:bCs/>
          <w:sz w:val="14"/>
          <w:szCs w:val="14"/>
        </w:rPr>
      </w:pPr>
      <w:r w:rsidRPr="0054000D">
        <w:rPr>
          <w:rFonts w:ascii="Tahoma" w:hAnsi="Tahoma" w:cs="Tahoma"/>
          <w:b/>
          <w:bCs/>
          <w:sz w:val="14"/>
          <w:szCs w:val="14"/>
        </w:rPr>
        <w:t>Gráfico 6 – Evolução IMA Geral 2015-202</w:t>
      </w:r>
      <w:r w:rsidR="00500468" w:rsidRPr="0054000D">
        <w:rPr>
          <w:rFonts w:ascii="Tahoma" w:hAnsi="Tahoma" w:cs="Tahoma"/>
          <w:b/>
          <w:bCs/>
          <w:sz w:val="14"/>
          <w:szCs w:val="14"/>
        </w:rPr>
        <w:t>3</w:t>
      </w:r>
    </w:p>
    <w:p w:rsidR="002B3FE6" w:rsidRPr="0054000D" w:rsidRDefault="002B3FE6" w:rsidP="00DA7372">
      <w:pPr>
        <w:spacing w:after="0" w:line="240" w:lineRule="auto"/>
        <w:ind w:left="851"/>
        <w:jc w:val="both"/>
        <w:rPr>
          <w:rFonts w:ascii="Tahoma" w:hAnsi="Tahoma" w:cs="Tahoma"/>
          <w:sz w:val="12"/>
          <w:szCs w:val="14"/>
        </w:rPr>
      </w:pPr>
      <w:r w:rsidRPr="0054000D">
        <w:rPr>
          <w:rFonts w:ascii="Tahoma" w:hAnsi="Tahoma" w:cs="Tahoma"/>
          <w:sz w:val="12"/>
          <w:szCs w:val="14"/>
        </w:rPr>
        <w:t>Fonte: Anbima.</w:t>
      </w:r>
    </w:p>
    <w:p w:rsidR="002B3FE6" w:rsidRPr="002B3FE6" w:rsidRDefault="002B3FE6" w:rsidP="002B3FE6">
      <w:pPr>
        <w:pStyle w:val="PargrafodaLista"/>
        <w:spacing w:after="120"/>
        <w:rPr>
          <w:rFonts w:cs="Tahoma"/>
          <w:szCs w:val="20"/>
        </w:rPr>
      </w:pPr>
    </w:p>
    <w:p w:rsidR="002B3FE6" w:rsidRPr="002B3FE6" w:rsidRDefault="002B3FE6" w:rsidP="00D93366">
      <w:pPr>
        <w:spacing w:after="120"/>
        <w:ind w:firstLine="709"/>
        <w:jc w:val="both"/>
        <w:rPr>
          <w:rFonts w:cs="Tahoma"/>
          <w:szCs w:val="20"/>
        </w:rPr>
      </w:pPr>
      <w:r w:rsidRPr="002B3FE6">
        <w:rPr>
          <w:rFonts w:cs="Tahoma"/>
          <w:szCs w:val="20"/>
        </w:rPr>
        <w:t>A partir da evolução do IMA Geral, o Gráfico acima resume o comportamento do segmento de renda fixa no período compreendido entre os anos de 2015 a 202</w:t>
      </w:r>
      <w:r w:rsidR="00500468">
        <w:rPr>
          <w:rFonts w:cs="Tahoma"/>
          <w:szCs w:val="20"/>
        </w:rPr>
        <w:t>3</w:t>
      </w:r>
      <w:r w:rsidRPr="002B3FE6">
        <w:rPr>
          <w:rFonts w:cs="Tahoma"/>
          <w:szCs w:val="20"/>
        </w:rPr>
        <w:t>, permitindo a rápida visualização dos anos em que o desempenho médio do setor superou as metas atuariais, representadas pela variação anual do IPCA acrescida de 6%.</w:t>
      </w:r>
    </w:p>
    <w:p w:rsidR="003F013F" w:rsidRPr="000C021C" w:rsidRDefault="003F013F" w:rsidP="000C021C">
      <w:pPr>
        <w:pStyle w:val="Ttulo2"/>
        <w:rPr>
          <w:rFonts w:ascii="Tahoma" w:hAnsi="Tahoma" w:cs="Tahoma"/>
          <w:b/>
          <w:color w:val="auto"/>
          <w:sz w:val="20"/>
          <w:szCs w:val="20"/>
        </w:rPr>
      </w:pPr>
      <w:bookmarkStart w:id="21" w:name="_Toc181778168"/>
      <w:r w:rsidRPr="000C021C">
        <w:rPr>
          <w:rFonts w:ascii="Tahoma" w:hAnsi="Tahoma" w:cs="Tahoma"/>
          <w:b/>
          <w:color w:val="auto"/>
          <w:sz w:val="20"/>
          <w:szCs w:val="20"/>
        </w:rPr>
        <w:lastRenderedPageBreak/>
        <w:t>Análise 202</w:t>
      </w:r>
      <w:r w:rsidR="00E16EDA" w:rsidRPr="000C021C">
        <w:rPr>
          <w:rFonts w:ascii="Tahoma" w:hAnsi="Tahoma" w:cs="Tahoma"/>
          <w:b/>
          <w:color w:val="auto"/>
          <w:sz w:val="20"/>
          <w:szCs w:val="20"/>
        </w:rPr>
        <w:t>4</w:t>
      </w:r>
      <w:r w:rsidRPr="000C021C">
        <w:rPr>
          <w:rFonts w:ascii="Tahoma" w:hAnsi="Tahoma" w:cs="Tahoma"/>
          <w:b/>
          <w:color w:val="auto"/>
          <w:sz w:val="20"/>
          <w:szCs w:val="20"/>
        </w:rPr>
        <w:t xml:space="preserve"> e Perspectivas para 202</w:t>
      </w:r>
      <w:r w:rsidR="00E16EDA" w:rsidRPr="000C021C">
        <w:rPr>
          <w:rFonts w:ascii="Tahoma" w:hAnsi="Tahoma" w:cs="Tahoma"/>
          <w:b/>
          <w:color w:val="auto"/>
          <w:sz w:val="20"/>
          <w:szCs w:val="20"/>
        </w:rPr>
        <w:t>5</w:t>
      </w:r>
      <w:bookmarkEnd w:id="21"/>
    </w:p>
    <w:p w:rsidR="00500468" w:rsidRPr="00500468" w:rsidRDefault="00DA7372" w:rsidP="00D93366">
      <w:pPr>
        <w:tabs>
          <w:tab w:val="left" w:pos="284"/>
        </w:tabs>
        <w:spacing w:after="120"/>
        <w:jc w:val="both"/>
        <w:rPr>
          <w:rFonts w:cs="Tahoma"/>
          <w:szCs w:val="20"/>
        </w:rPr>
      </w:pPr>
      <w:r>
        <w:rPr>
          <w:rFonts w:cs="Tahoma"/>
          <w:szCs w:val="20"/>
        </w:rPr>
        <w:tab/>
      </w:r>
      <w:r>
        <w:rPr>
          <w:rFonts w:cs="Tahoma"/>
          <w:szCs w:val="20"/>
        </w:rPr>
        <w:tab/>
      </w:r>
      <w:r w:rsidR="00500468" w:rsidRPr="00500468">
        <w:rPr>
          <w:rFonts w:cs="Tahoma"/>
          <w:szCs w:val="20"/>
        </w:rPr>
        <w:t>Mesmo sob o prisma da expectativa de juros mais baixos, o setor de renda fixa não conseguiu reverter o pessimismo do mercado no decorrer do corrente exercício, que por conta da situação fiscal do país sempre manteve em alta sua percepção de risco. A confirmação de sucessivas quedas da Selic no primeiro semestre não sensibilizou os investidores a aumentarem o apetite por opções de prazos mais longos, ficando subentendido que tal avaliação e respectiva reprecificação dos ativos já havia sido feita no decurso do ano anterior.</w:t>
      </w:r>
    </w:p>
    <w:p w:rsidR="00500468" w:rsidRPr="00500468" w:rsidRDefault="00DA7372" w:rsidP="00D93366">
      <w:pPr>
        <w:tabs>
          <w:tab w:val="left" w:pos="284"/>
        </w:tabs>
        <w:spacing w:after="120"/>
        <w:jc w:val="both"/>
        <w:rPr>
          <w:rFonts w:cs="Tahoma"/>
          <w:szCs w:val="20"/>
        </w:rPr>
      </w:pPr>
      <w:r>
        <w:rPr>
          <w:rFonts w:cs="Tahoma"/>
          <w:szCs w:val="20"/>
        </w:rPr>
        <w:tab/>
      </w:r>
      <w:r>
        <w:rPr>
          <w:rFonts w:cs="Tahoma"/>
          <w:szCs w:val="20"/>
        </w:rPr>
        <w:tab/>
      </w:r>
      <w:r w:rsidR="00500468" w:rsidRPr="00500468">
        <w:rPr>
          <w:rFonts w:cs="Tahoma"/>
          <w:szCs w:val="20"/>
        </w:rPr>
        <w:t>A piora das expectativas inflacionárias ao longo de 2024 ameaçavam a continuidade do ciclo de queda da Selic, tendência essa confirmada a partir do segundo semestre, quando após sucessivas manutenções do indicador, um novo movimento de alta teve in</w:t>
      </w:r>
      <w:r w:rsidR="00481984">
        <w:rPr>
          <w:rFonts w:cs="Tahoma"/>
          <w:szCs w:val="20"/>
        </w:rPr>
        <w:t>í</w:t>
      </w:r>
      <w:r w:rsidR="00500468" w:rsidRPr="00500468">
        <w:rPr>
          <w:rFonts w:cs="Tahoma"/>
          <w:szCs w:val="20"/>
        </w:rPr>
        <w:t>cio em setembro. A título de exemplo cita-se que o IMA-B5+, subíndice que sinaliza a rentabilidade das NTN-Bs acima de 5 (cinco) anos, variou positivamente apenas em 04 (quatro) oportunidades nos primeiros 10 (dez) meses de 2024.</w:t>
      </w:r>
    </w:p>
    <w:p w:rsidR="002B3FE6" w:rsidRPr="00500468" w:rsidRDefault="00DA7372" w:rsidP="00D93366">
      <w:pPr>
        <w:tabs>
          <w:tab w:val="left" w:pos="284"/>
        </w:tabs>
        <w:spacing w:after="120"/>
        <w:jc w:val="both"/>
        <w:rPr>
          <w:rFonts w:cs="Tahoma"/>
          <w:szCs w:val="20"/>
        </w:rPr>
      </w:pPr>
      <w:r>
        <w:rPr>
          <w:rFonts w:cs="Tahoma"/>
          <w:szCs w:val="20"/>
        </w:rPr>
        <w:tab/>
      </w:r>
      <w:r>
        <w:rPr>
          <w:rFonts w:cs="Tahoma"/>
          <w:szCs w:val="20"/>
        </w:rPr>
        <w:tab/>
      </w:r>
      <w:r w:rsidR="00500468" w:rsidRPr="00500468">
        <w:rPr>
          <w:rFonts w:cs="Tahoma"/>
          <w:szCs w:val="20"/>
        </w:rPr>
        <w:t>Dentre os meses em que referido indicador registrou variação positiva destacam-se julho (3,24%) e agosto (0,77%), que à primeira vista pareciam indicar uma possível mudança de rumo no segundo semestre do ano. Todavia, as variações obtidas acima dos seus pares de prazos mais curtos não se sustentaram no período, com os meses de setembro (-1,42%) e outubro (-1,66%) sendo marcados por novas variações negativas. Importante também destacar que</w:t>
      </w:r>
      <w:r w:rsidR="00481984">
        <w:rPr>
          <w:rFonts w:cs="Tahoma"/>
          <w:szCs w:val="20"/>
        </w:rPr>
        <w:t>,</w:t>
      </w:r>
      <w:r w:rsidR="00500468" w:rsidRPr="00500468">
        <w:rPr>
          <w:rFonts w:cs="Tahoma"/>
          <w:szCs w:val="20"/>
        </w:rPr>
        <w:t xml:space="preserve"> em termos acumulados</w:t>
      </w:r>
      <w:r w:rsidR="00481984">
        <w:rPr>
          <w:rFonts w:cs="Tahoma"/>
          <w:szCs w:val="20"/>
        </w:rPr>
        <w:t>,</w:t>
      </w:r>
      <w:r w:rsidR="00500468" w:rsidRPr="00500468">
        <w:rPr>
          <w:rFonts w:cs="Tahoma"/>
          <w:szCs w:val="20"/>
        </w:rPr>
        <w:t xml:space="preserve"> esse subíndice sempre esteve no campo negativo ao lo</w:t>
      </w:r>
      <w:r w:rsidR="00481984">
        <w:rPr>
          <w:rFonts w:cs="Tahoma"/>
          <w:szCs w:val="20"/>
        </w:rPr>
        <w:t>n</w:t>
      </w:r>
      <w:r w:rsidR="00500468" w:rsidRPr="00500468">
        <w:rPr>
          <w:rFonts w:cs="Tahoma"/>
          <w:szCs w:val="20"/>
        </w:rPr>
        <w:t>go de 2024.</w:t>
      </w:r>
    </w:p>
    <w:p w:rsidR="002B3FE6" w:rsidRDefault="00500468" w:rsidP="00500468">
      <w:pPr>
        <w:tabs>
          <w:tab w:val="left" w:pos="284"/>
        </w:tabs>
        <w:spacing w:after="120"/>
        <w:jc w:val="center"/>
        <w:rPr>
          <w:rFonts w:cs="Tahoma"/>
          <w:szCs w:val="20"/>
        </w:rPr>
      </w:pPr>
      <w:r w:rsidRPr="002150E6">
        <w:rPr>
          <w:noProof/>
        </w:rPr>
        <w:drawing>
          <wp:inline distT="0" distB="0" distL="0" distR="0">
            <wp:extent cx="4665306" cy="3172408"/>
            <wp:effectExtent l="0" t="0" r="21590" b="9525"/>
            <wp:docPr id="8" name="Gráfico 8"/>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500468" w:rsidRPr="0054000D" w:rsidRDefault="00500468" w:rsidP="00500468">
      <w:pPr>
        <w:spacing w:after="0" w:line="240" w:lineRule="auto"/>
        <w:ind w:left="851"/>
        <w:jc w:val="both"/>
        <w:rPr>
          <w:rFonts w:ascii="Tahoma" w:hAnsi="Tahoma" w:cs="Tahoma"/>
          <w:b/>
          <w:bCs/>
          <w:sz w:val="14"/>
          <w:szCs w:val="14"/>
        </w:rPr>
      </w:pPr>
      <w:r w:rsidRPr="0054000D">
        <w:rPr>
          <w:rFonts w:ascii="Tahoma" w:hAnsi="Tahoma" w:cs="Tahoma"/>
          <w:b/>
          <w:bCs/>
          <w:sz w:val="14"/>
          <w:szCs w:val="14"/>
        </w:rPr>
        <w:t>Gráfico 7 – Rentabilidade acumulada dos principais Indicadores IMA (%)</w:t>
      </w:r>
    </w:p>
    <w:p w:rsidR="00500468" w:rsidRPr="0054000D" w:rsidRDefault="00500468" w:rsidP="00500468">
      <w:pPr>
        <w:spacing w:after="0" w:line="240" w:lineRule="auto"/>
        <w:ind w:left="851"/>
        <w:jc w:val="both"/>
        <w:rPr>
          <w:rFonts w:ascii="Tahoma" w:hAnsi="Tahoma" w:cs="Tahoma"/>
          <w:sz w:val="12"/>
          <w:szCs w:val="14"/>
        </w:rPr>
      </w:pPr>
      <w:r w:rsidRPr="0054000D">
        <w:rPr>
          <w:rFonts w:ascii="Tahoma" w:hAnsi="Tahoma" w:cs="Tahoma"/>
          <w:sz w:val="12"/>
          <w:szCs w:val="14"/>
        </w:rPr>
        <w:t>Fonte: ANBIMA</w:t>
      </w:r>
    </w:p>
    <w:p w:rsidR="00500468" w:rsidRPr="0054000D" w:rsidRDefault="00500468" w:rsidP="00500468">
      <w:pPr>
        <w:spacing w:after="120"/>
        <w:ind w:left="851"/>
        <w:jc w:val="both"/>
        <w:rPr>
          <w:rFonts w:ascii="Tahoma" w:hAnsi="Tahoma" w:cs="Tahoma"/>
          <w:sz w:val="12"/>
          <w:szCs w:val="14"/>
        </w:rPr>
      </w:pPr>
      <w:r w:rsidRPr="0054000D">
        <w:rPr>
          <w:rFonts w:ascii="Tahoma" w:hAnsi="Tahoma" w:cs="Tahoma"/>
          <w:sz w:val="12"/>
          <w:szCs w:val="14"/>
        </w:rPr>
        <w:t>OBS: Janeiro a Outubro de 2024 – IPCA de outubro estimado com base no IPCA-15</w:t>
      </w:r>
    </w:p>
    <w:p w:rsidR="00500468" w:rsidRPr="00500468" w:rsidRDefault="00DA7372" w:rsidP="00D93366">
      <w:pPr>
        <w:tabs>
          <w:tab w:val="left" w:pos="284"/>
        </w:tabs>
        <w:spacing w:after="120"/>
        <w:jc w:val="both"/>
        <w:rPr>
          <w:rFonts w:cs="Tahoma"/>
          <w:szCs w:val="20"/>
        </w:rPr>
      </w:pPr>
      <w:r>
        <w:rPr>
          <w:rFonts w:cs="Tahoma"/>
          <w:szCs w:val="20"/>
        </w:rPr>
        <w:tab/>
      </w:r>
      <w:r>
        <w:rPr>
          <w:rFonts w:cs="Tahoma"/>
          <w:szCs w:val="20"/>
        </w:rPr>
        <w:tab/>
      </w:r>
      <w:r w:rsidR="00500468" w:rsidRPr="00500468">
        <w:rPr>
          <w:rFonts w:cs="Tahoma"/>
          <w:szCs w:val="20"/>
        </w:rPr>
        <w:t xml:space="preserve">Trajetória não muito diferente foi registrada pelo subíndice IRF-M1+, atrelado aos títulos pré-fixados de prazos mais longos. Além de contabilizar prejuízo em 03 (três) meses do ano, as variações positivas obtidas no período, com exceção do mês de julho, sempre foram inferiores aos pré-fixados de menor prazo (IRF-M1), nunca conseguindo cobrir as necessidades atuariais. </w:t>
      </w:r>
    </w:p>
    <w:p w:rsidR="00500468" w:rsidRPr="00500468" w:rsidRDefault="00DA7372" w:rsidP="00D93366">
      <w:pPr>
        <w:tabs>
          <w:tab w:val="left" w:pos="284"/>
        </w:tabs>
        <w:spacing w:after="120"/>
        <w:jc w:val="both"/>
        <w:rPr>
          <w:rFonts w:cs="Tahoma"/>
          <w:szCs w:val="20"/>
        </w:rPr>
      </w:pPr>
      <w:r>
        <w:rPr>
          <w:rFonts w:cs="Tahoma"/>
          <w:szCs w:val="20"/>
        </w:rPr>
        <w:lastRenderedPageBreak/>
        <w:tab/>
      </w:r>
      <w:r>
        <w:rPr>
          <w:rFonts w:cs="Tahoma"/>
          <w:szCs w:val="20"/>
        </w:rPr>
        <w:tab/>
      </w:r>
      <w:r w:rsidR="00500468" w:rsidRPr="00500468">
        <w:rPr>
          <w:rFonts w:cs="Tahoma"/>
          <w:szCs w:val="20"/>
        </w:rPr>
        <w:t>Por outro lado, mesmo apresentando melhores rendimentos em relação às opções de maior duration, os subíndices vinculados aos ativos de menor prazo também não empolgaram em 2024, apresentando ganhos acumulados invariavelmente inferiores às metas atuariais. A exceção ficou com o IMA-S, indicador de curtíssimo prazo atrelado à variação diária da Selic, cuja rentabilidade praticamente se igualou à meta atuarial de referência, inclusive superando esta última a partir do mês de julho.</w:t>
      </w:r>
    </w:p>
    <w:p w:rsidR="00500468" w:rsidRDefault="00DA7372" w:rsidP="00D93366">
      <w:pPr>
        <w:tabs>
          <w:tab w:val="left" w:pos="284"/>
        </w:tabs>
        <w:spacing w:after="120"/>
        <w:jc w:val="both"/>
        <w:rPr>
          <w:rFonts w:cs="Tahoma"/>
          <w:szCs w:val="20"/>
        </w:rPr>
      </w:pPr>
      <w:r>
        <w:rPr>
          <w:rFonts w:cs="Tahoma"/>
          <w:szCs w:val="20"/>
        </w:rPr>
        <w:tab/>
      </w:r>
      <w:r>
        <w:rPr>
          <w:rFonts w:cs="Tahoma"/>
          <w:szCs w:val="20"/>
        </w:rPr>
        <w:tab/>
      </w:r>
      <w:r w:rsidR="00500468" w:rsidRPr="00500468">
        <w:rPr>
          <w:rFonts w:cs="Tahoma"/>
          <w:szCs w:val="20"/>
        </w:rPr>
        <w:t>Embora</w:t>
      </w:r>
      <w:r w:rsidR="00481984">
        <w:rPr>
          <w:rFonts w:cs="Tahoma"/>
          <w:szCs w:val="20"/>
        </w:rPr>
        <w:t>,</w:t>
      </w:r>
      <w:r w:rsidR="00500468" w:rsidRPr="00500468">
        <w:rPr>
          <w:rFonts w:cs="Tahoma"/>
          <w:szCs w:val="20"/>
        </w:rPr>
        <w:t xml:space="preserve"> em ritmo menos acelerado e iniciando depois do previsto, a queda dos juros norte americanos acabou repercutindo menos do que o previsto na rentabilidade da renda fixa, sinalizando que, de fato, as questões domésticas pesaram mais nas escolhas do investidor do que o comportamento da economia internacional.</w:t>
      </w:r>
    </w:p>
    <w:p w:rsidR="00500468" w:rsidRDefault="00500468" w:rsidP="00500468">
      <w:pPr>
        <w:tabs>
          <w:tab w:val="left" w:pos="284"/>
        </w:tabs>
        <w:spacing w:after="120"/>
        <w:jc w:val="center"/>
        <w:rPr>
          <w:rFonts w:cs="Tahoma"/>
          <w:szCs w:val="20"/>
        </w:rPr>
      </w:pPr>
      <w:r w:rsidRPr="002150E6">
        <w:rPr>
          <w:noProof/>
        </w:rPr>
        <w:drawing>
          <wp:inline distT="0" distB="0" distL="0" distR="0">
            <wp:extent cx="4679950" cy="3518544"/>
            <wp:effectExtent l="0" t="0" r="25400" b="24765"/>
            <wp:docPr id="11" name="Grá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500468" w:rsidRPr="0054000D" w:rsidRDefault="00500468" w:rsidP="00500468">
      <w:pPr>
        <w:spacing w:after="0" w:line="240" w:lineRule="auto"/>
        <w:ind w:left="851"/>
        <w:jc w:val="both"/>
        <w:rPr>
          <w:rFonts w:ascii="Tahoma" w:hAnsi="Tahoma" w:cs="Tahoma"/>
          <w:b/>
          <w:bCs/>
          <w:sz w:val="14"/>
          <w:szCs w:val="14"/>
        </w:rPr>
      </w:pPr>
      <w:r w:rsidRPr="0054000D">
        <w:rPr>
          <w:rFonts w:ascii="Tahoma" w:hAnsi="Tahoma" w:cs="Tahoma"/>
          <w:b/>
          <w:bCs/>
          <w:sz w:val="14"/>
          <w:szCs w:val="14"/>
        </w:rPr>
        <w:t>Gráfico 8 – Rentabilidade acumulada dos índices atrelados a ativos de maior duração (%)</w:t>
      </w:r>
    </w:p>
    <w:p w:rsidR="00500468" w:rsidRPr="0054000D" w:rsidRDefault="00500468" w:rsidP="00500468">
      <w:pPr>
        <w:spacing w:after="0" w:line="240" w:lineRule="auto"/>
        <w:ind w:left="851"/>
        <w:jc w:val="both"/>
        <w:rPr>
          <w:rFonts w:ascii="Tahoma" w:hAnsi="Tahoma" w:cs="Tahoma"/>
          <w:sz w:val="12"/>
          <w:szCs w:val="14"/>
        </w:rPr>
      </w:pPr>
      <w:r w:rsidRPr="0054000D">
        <w:rPr>
          <w:rFonts w:ascii="Tahoma" w:hAnsi="Tahoma" w:cs="Tahoma"/>
          <w:sz w:val="12"/>
          <w:szCs w:val="14"/>
        </w:rPr>
        <w:t>Fonte: ANBIMA.</w:t>
      </w:r>
    </w:p>
    <w:p w:rsidR="00500468" w:rsidRPr="0054000D" w:rsidRDefault="00500468" w:rsidP="00500468">
      <w:pPr>
        <w:spacing w:after="240"/>
        <w:ind w:left="851"/>
        <w:jc w:val="both"/>
        <w:rPr>
          <w:rFonts w:cs="Tahoma"/>
          <w:sz w:val="18"/>
          <w:szCs w:val="16"/>
        </w:rPr>
      </w:pPr>
      <w:r w:rsidRPr="0054000D">
        <w:rPr>
          <w:rFonts w:ascii="Tahoma" w:hAnsi="Tahoma" w:cs="Tahoma"/>
          <w:sz w:val="12"/>
          <w:szCs w:val="14"/>
        </w:rPr>
        <w:t>OBS: Janeiro a Outubro de 2024 – IPCA de outubro estimado com base no IPCA-15</w:t>
      </w:r>
    </w:p>
    <w:p w:rsidR="00500468" w:rsidRPr="00500468" w:rsidRDefault="00DA7372" w:rsidP="00D93366">
      <w:pPr>
        <w:tabs>
          <w:tab w:val="left" w:pos="284"/>
        </w:tabs>
        <w:spacing w:after="120"/>
        <w:jc w:val="both"/>
        <w:rPr>
          <w:rFonts w:cs="Tahoma"/>
          <w:szCs w:val="20"/>
        </w:rPr>
      </w:pPr>
      <w:r>
        <w:rPr>
          <w:rFonts w:cs="Tahoma"/>
          <w:szCs w:val="20"/>
        </w:rPr>
        <w:tab/>
      </w:r>
      <w:r>
        <w:rPr>
          <w:rFonts w:cs="Tahoma"/>
          <w:szCs w:val="20"/>
        </w:rPr>
        <w:tab/>
      </w:r>
      <w:r w:rsidR="00500468" w:rsidRPr="00500468">
        <w:rPr>
          <w:rFonts w:cs="Tahoma"/>
          <w:szCs w:val="20"/>
        </w:rPr>
        <w:t>Em síntese, diferentemente do comportamento verificado no ano anterior, onde</w:t>
      </w:r>
      <w:r w:rsidR="00481984">
        <w:rPr>
          <w:rFonts w:cs="Tahoma"/>
          <w:szCs w:val="20"/>
        </w:rPr>
        <w:t>,</w:t>
      </w:r>
      <w:r w:rsidR="00500468" w:rsidRPr="00500468">
        <w:rPr>
          <w:rFonts w:cs="Tahoma"/>
          <w:szCs w:val="20"/>
        </w:rPr>
        <w:t xml:space="preserve"> além de bater as metas atuariais</w:t>
      </w:r>
      <w:r w:rsidR="00481984">
        <w:rPr>
          <w:rFonts w:cs="Tahoma"/>
          <w:szCs w:val="20"/>
        </w:rPr>
        <w:t>,</w:t>
      </w:r>
      <w:r w:rsidR="00500468" w:rsidRPr="00500468">
        <w:rPr>
          <w:rFonts w:cs="Tahoma"/>
          <w:szCs w:val="20"/>
        </w:rPr>
        <w:t xml:space="preserve"> os subíndices IMA registraram movimentos distintos na comparação entre o primeiro e o segundo semestre, a performance de 2024 sempre esteve aquém das necessidades de retorno, sendo percebida</w:t>
      </w:r>
      <w:r w:rsidR="00481984">
        <w:rPr>
          <w:rFonts w:cs="Tahoma"/>
          <w:szCs w:val="20"/>
        </w:rPr>
        <w:t>s</w:t>
      </w:r>
      <w:r w:rsidR="00500468" w:rsidRPr="00500468">
        <w:rPr>
          <w:rFonts w:cs="Tahoma"/>
          <w:szCs w:val="20"/>
        </w:rPr>
        <w:t xml:space="preserve"> pequenas alterações em determinados meses, mas que nunca provocaram alterações nas expectativas de longo prazo. </w:t>
      </w:r>
    </w:p>
    <w:p w:rsidR="00500468" w:rsidRDefault="00DA7372" w:rsidP="00D93366">
      <w:pPr>
        <w:tabs>
          <w:tab w:val="left" w:pos="284"/>
        </w:tabs>
        <w:spacing w:after="120"/>
        <w:jc w:val="both"/>
        <w:rPr>
          <w:rFonts w:cs="Tahoma"/>
          <w:szCs w:val="20"/>
        </w:rPr>
      </w:pPr>
      <w:r>
        <w:rPr>
          <w:rFonts w:cs="Tahoma"/>
          <w:szCs w:val="20"/>
        </w:rPr>
        <w:tab/>
      </w:r>
      <w:r>
        <w:rPr>
          <w:rFonts w:cs="Tahoma"/>
          <w:szCs w:val="20"/>
        </w:rPr>
        <w:tab/>
      </w:r>
      <w:r w:rsidR="00500468" w:rsidRPr="00500468">
        <w:rPr>
          <w:rFonts w:cs="Tahoma"/>
          <w:szCs w:val="20"/>
        </w:rPr>
        <w:t>Com efeito, o IMA-Geral, indicador que reflete a rentabilidade dos títulos marcados a mercado como um todo, acumulou ganho de 5,39%</w:t>
      </w:r>
      <w:r w:rsidR="00481984">
        <w:rPr>
          <w:rFonts w:cs="Tahoma"/>
          <w:szCs w:val="20"/>
        </w:rPr>
        <w:t>,</w:t>
      </w:r>
      <w:r w:rsidR="00500468" w:rsidRPr="00500468">
        <w:rPr>
          <w:rFonts w:cs="Tahoma"/>
          <w:szCs w:val="20"/>
        </w:rPr>
        <w:t xml:space="preserve"> no conjunto dos primeiros 10 (dez) meses do ano, ou seja, pouco mais da metade estimada como suficiente para o atingimento da meta atuarial (9,03%). Em termos mensais, o IMA-Geral ficou no negativo apenas em abril (-0,22%), registrando seu maior retorno em julho (1,36%), não por coincidência mês em que os ativos de maior prazo obtiveram seus melhores desempenhos.</w:t>
      </w:r>
    </w:p>
    <w:p w:rsidR="00500468" w:rsidRDefault="00500468" w:rsidP="00500468">
      <w:pPr>
        <w:tabs>
          <w:tab w:val="left" w:pos="284"/>
        </w:tabs>
        <w:spacing w:after="120"/>
        <w:jc w:val="center"/>
        <w:rPr>
          <w:rFonts w:cs="Tahoma"/>
          <w:szCs w:val="20"/>
        </w:rPr>
      </w:pPr>
      <w:r w:rsidRPr="002150E6">
        <w:rPr>
          <w:noProof/>
        </w:rPr>
        <w:lastRenderedPageBreak/>
        <w:drawing>
          <wp:inline distT="0" distB="0" distL="0" distR="0">
            <wp:extent cx="4679950" cy="3522851"/>
            <wp:effectExtent l="0" t="0" r="25400" b="20955"/>
            <wp:docPr id="2018248272" name="Gráfico 2018248272"/>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500468" w:rsidRPr="0054000D" w:rsidRDefault="00500468" w:rsidP="00500468">
      <w:pPr>
        <w:spacing w:after="0" w:line="240" w:lineRule="auto"/>
        <w:ind w:left="851"/>
        <w:jc w:val="both"/>
        <w:rPr>
          <w:rFonts w:ascii="Tahoma" w:hAnsi="Tahoma" w:cs="Tahoma"/>
          <w:b/>
          <w:bCs/>
          <w:sz w:val="14"/>
          <w:szCs w:val="14"/>
        </w:rPr>
      </w:pPr>
      <w:r w:rsidRPr="0054000D">
        <w:rPr>
          <w:rFonts w:ascii="Tahoma" w:hAnsi="Tahoma" w:cs="Tahoma"/>
          <w:b/>
          <w:bCs/>
          <w:sz w:val="14"/>
          <w:szCs w:val="14"/>
        </w:rPr>
        <w:t>Gráfico 9 – Rentabilidade acumulada dos índices atrelados a ativos de menor duração (%)</w:t>
      </w:r>
    </w:p>
    <w:p w:rsidR="00500468" w:rsidRPr="0054000D" w:rsidRDefault="00500468" w:rsidP="00500468">
      <w:pPr>
        <w:spacing w:after="0" w:line="240" w:lineRule="auto"/>
        <w:ind w:left="851"/>
        <w:jc w:val="both"/>
        <w:rPr>
          <w:rFonts w:ascii="Tahoma" w:hAnsi="Tahoma" w:cs="Tahoma"/>
          <w:sz w:val="12"/>
          <w:szCs w:val="14"/>
        </w:rPr>
      </w:pPr>
      <w:r w:rsidRPr="0054000D">
        <w:rPr>
          <w:rFonts w:ascii="Tahoma" w:hAnsi="Tahoma" w:cs="Tahoma"/>
          <w:sz w:val="12"/>
          <w:szCs w:val="14"/>
        </w:rPr>
        <w:t>Fonte: ANBIMA.</w:t>
      </w:r>
    </w:p>
    <w:p w:rsidR="00500468" w:rsidRPr="0054000D" w:rsidRDefault="00500468" w:rsidP="00500468">
      <w:pPr>
        <w:spacing w:after="240"/>
        <w:ind w:left="851"/>
        <w:jc w:val="both"/>
        <w:rPr>
          <w:rFonts w:cs="Tahoma"/>
          <w:sz w:val="18"/>
          <w:szCs w:val="16"/>
        </w:rPr>
      </w:pPr>
      <w:r w:rsidRPr="0054000D">
        <w:rPr>
          <w:rFonts w:ascii="Tahoma" w:hAnsi="Tahoma" w:cs="Tahoma"/>
          <w:sz w:val="12"/>
          <w:szCs w:val="14"/>
        </w:rPr>
        <w:t>OBS: Janeiro a Outubro de 2024 – IPCA de outubro estimado com base no IPCA-15</w:t>
      </w:r>
    </w:p>
    <w:p w:rsidR="00500468" w:rsidRPr="00500468" w:rsidRDefault="00DA7372" w:rsidP="00D93366">
      <w:pPr>
        <w:tabs>
          <w:tab w:val="left" w:pos="284"/>
        </w:tabs>
        <w:spacing w:after="120"/>
        <w:jc w:val="both"/>
        <w:rPr>
          <w:rFonts w:cs="Tahoma"/>
          <w:szCs w:val="20"/>
        </w:rPr>
      </w:pPr>
      <w:r>
        <w:rPr>
          <w:rFonts w:cs="Tahoma"/>
          <w:szCs w:val="20"/>
        </w:rPr>
        <w:tab/>
      </w:r>
      <w:r>
        <w:rPr>
          <w:rFonts w:cs="Tahoma"/>
          <w:szCs w:val="20"/>
        </w:rPr>
        <w:tab/>
      </w:r>
      <w:r w:rsidR="00500468" w:rsidRPr="00500468">
        <w:rPr>
          <w:rFonts w:cs="Tahoma"/>
          <w:szCs w:val="20"/>
        </w:rPr>
        <w:t xml:space="preserve">No que tange às previsões para 2025, as expectativas apontam para a manutenção de uma política monetária com viés de maior austeridade, com pequena redução da Selic em relação ao fechamento esperado para 2024. Em contrapartida, a projeção é de arrefecimento do IPCA, permanecendo acima do centro da meta, mas recuando em relação ao teto, o que por si só justifica a tendência de menor afrouxamento monetário. </w:t>
      </w:r>
    </w:p>
    <w:p w:rsidR="00500468" w:rsidRPr="00500468" w:rsidRDefault="00DA7372" w:rsidP="00D93366">
      <w:pPr>
        <w:tabs>
          <w:tab w:val="left" w:pos="284"/>
        </w:tabs>
        <w:spacing w:after="120"/>
        <w:jc w:val="both"/>
        <w:rPr>
          <w:rFonts w:cs="Tahoma"/>
          <w:szCs w:val="20"/>
        </w:rPr>
      </w:pPr>
      <w:r>
        <w:rPr>
          <w:rFonts w:cs="Tahoma"/>
          <w:szCs w:val="20"/>
        </w:rPr>
        <w:tab/>
      </w:r>
      <w:r>
        <w:rPr>
          <w:rFonts w:cs="Tahoma"/>
          <w:szCs w:val="20"/>
        </w:rPr>
        <w:tab/>
      </w:r>
      <w:r w:rsidR="00500468" w:rsidRPr="00500468">
        <w:rPr>
          <w:rFonts w:cs="Tahoma"/>
          <w:szCs w:val="20"/>
        </w:rPr>
        <w:t xml:space="preserve">No mesmo sentido, as questões fiscais também não vislumbram grandes modificações em relação a 2024, consistindo novamente no principal grau de risco da economia brasileira. A continuidade dos déficits primários segue sendo uma tendência para 2025, uma vez que o arranjo fiscal concebido não tem logrado êxito em relação à busca de novas receitas capazes de fazer frente às despesas assumidas pelo governo, cujos programas sociais foram aprofundados no último biênio. </w:t>
      </w:r>
    </w:p>
    <w:p w:rsidR="00500468" w:rsidRPr="00500468" w:rsidRDefault="00DA7372" w:rsidP="00D93366">
      <w:pPr>
        <w:tabs>
          <w:tab w:val="left" w:pos="284"/>
        </w:tabs>
        <w:spacing w:after="120"/>
        <w:jc w:val="both"/>
        <w:rPr>
          <w:rFonts w:cs="Tahoma"/>
          <w:szCs w:val="20"/>
        </w:rPr>
      </w:pPr>
      <w:r>
        <w:rPr>
          <w:rFonts w:cs="Tahoma"/>
          <w:szCs w:val="20"/>
        </w:rPr>
        <w:tab/>
      </w:r>
      <w:r>
        <w:rPr>
          <w:rFonts w:cs="Tahoma"/>
          <w:szCs w:val="20"/>
        </w:rPr>
        <w:tab/>
      </w:r>
      <w:r w:rsidR="00500468" w:rsidRPr="00500468">
        <w:rPr>
          <w:rFonts w:cs="Tahoma"/>
          <w:szCs w:val="20"/>
        </w:rPr>
        <w:t xml:space="preserve">Com a taxa de juros permanecendo em patamar elevado, IPCA abaixo do teto da meta, mas em situação ainda distante da estabilidade almejada pelo governo, e uma situação fiscal de difícil resolução a curto e médio prazos, a tendência é de um cenário semelhante a 2024 em termos de performance do segmento de renda fixa, com as opções de curto prazo prevalecendo frente aos maiores riscos implícitos </w:t>
      </w:r>
      <w:r w:rsidR="00481984">
        <w:rPr>
          <w:rFonts w:cs="Tahoma"/>
          <w:szCs w:val="20"/>
        </w:rPr>
        <w:t>n</w:t>
      </w:r>
      <w:r w:rsidR="00500468" w:rsidRPr="00500468">
        <w:rPr>
          <w:rFonts w:cs="Tahoma"/>
          <w:szCs w:val="20"/>
        </w:rPr>
        <w:t>os títulos de prazos mais alongados.</w:t>
      </w:r>
    </w:p>
    <w:p w:rsidR="00500468" w:rsidRPr="00500468" w:rsidRDefault="00DA7372" w:rsidP="00D93366">
      <w:pPr>
        <w:tabs>
          <w:tab w:val="left" w:pos="284"/>
        </w:tabs>
        <w:spacing w:after="120"/>
        <w:jc w:val="both"/>
        <w:rPr>
          <w:rFonts w:cs="Tahoma"/>
          <w:szCs w:val="20"/>
        </w:rPr>
      </w:pPr>
      <w:r>
        <w:rPr>
          <w:rFonts w:cs="Tahoma"/>
          <w:szCs w:val="20"/>
        </w:rPr>
        <w:tab/>
      </w:r>
      <w:r>
        <w:rPr>
          <w:rFonts w:cs="Tahoma"/>
          <w:szCs w:val="20"/>
        </w:rPr>
        <w:tab/>
      </w:r>
      <w:r w:rsidR="00500468" w:rsidRPr="00500468">
        <w:rPr>
          <w:rFonts w:cs="Tahoma"/>
          <w:szCs w:val="20"/>
        </w:rPr>
        <w:t>Assim, diante desse contexto, recomenda-se novamente uma moderada e prudente diversificação do portfólio, contudo, sendo estabelecida relativa preferência por investimentos em ativos de prazos mais curtos, sobretudo no primeiro semestre de 2025, haja vista a maior probabilidade de que as incertezas de longo prazo permaneçam no radar dos investidores.</w:t>
      </w:r>
    </w:p>
    <w:p w:rsidR="00500468" w:rsidRDefault="00DA7372" w:rsidP="00D93366">
      <w:pPr>
        <w:tabs>
          <w:tab w:val="left" w:pos="284"/>
        </w:tabs>
        <w:spacing w:after="120"/>
        <w:jc w:val="both"/>
        <w:rPr>
          <w:rFonts w:cs="Tahoma"/>
          <w:szCs w:val="20"/>
        </w:rPr>
      </w:pPr>
      <w:r>
        <w:rPr>
          <w:rFonts w:cs="Tahoma"/>
          <w:szCs w:val="20"/>
        </w:rPr>
        <w:lastRenderedPageBreak/>
        <w:tab/>
      </w:r>
      <w:r>
        <w:rPr>
          <w:rFonts w:cs="Tahoma"/>
          <w:szCs w:val="20"/>
        </w:rPr>
        <w:tab/>
      </w:r>
      <w:r w:rsidR="00500468" w:rsidRPr="00500468">
        <w:rPr>
          <w:rFonts w:cs="Tahoma"/>
          <w:szCs w:val="20"/>
        </w:rPr>
        <w:t>Por oportuno, ressalta-se que</w:t>
      </w:r>
      <w:r w:rsidR="00481984">
        <w:rPr>
          <w:rFonts w:cs="Tahoma"/>
          <w:szCs w:val="20"/>
        </w:rPr>
        <w:t xml:space="preserve"> a</w:t>
      </w:r>
      <w:r w:rsidR="00500468" w:rsidRPr="00500468">
        <w:rPr>
          <w:rFonts w:cs="Tahoma"/>
          <w:szCs w:val="20"/>
        </w:rPr>
        <w:t xml:space="preserve"> sugerida diversificação confere ao investidor a proteção necessária contra eventuais contingências que venham a interferir na condução das pol</w:t>
      </w:r>
      <w:r w:rsidR="00481984">
        <w:rPr>
          <w:rFonts w:cs="Tahoma"/>
          <w:szCs w:val="20"/>
        </w:rPr>
        <w:t>i</w:t>
      </w:r>
      <w:r w:rsidR="00500468" w:rsidRPr="00500468">
        <w:rPr>
          <w:rFonts w:cs="Tahoma"/>
          <w:szCs w:val="20"/>
        </w:rPr>
        <w:t>ticas monetária, cambial e, especialmente, fiscal.</w:t>
      </w:r>
    </w:p>
    <w:p w:rsidR="002B3FE6" w:rsidRDefault="002B3FE6" w:rsidP="002B3FE6">
      <w:pPr>
        <w:pStyle w:val="Ttulo2"/>
        <w:spacing w:before="240"/>
        <w:rPr>
          <w:b/>
          <w:bCs/>
          <w:color w:val="auto"/>
          <w:sz w:val="24"/>
          <w:szCs w:val="24"/>
        </w:rPr>
      </w:pPr>
      <w:bookmarkStart w:id="22" w:name="_Toc436040842"/>
      <w:bookmarkStart w:id="23" w:name="_Toc149913364"/>
      <w:bookmarkStart w:id="24" w:name="_Toc181778169"/>
      <w:r w:rsidRPr="002B3FE6">
        <w:rPr>
          <w:b/>
          <w:bCs/>
          <w:color w:val="auto"/>
          <w:sz w:val="24"/>
          <w:szCs w:val="24"/>
        </w:rPr>
        <w:t>Renda Variável</w:t>
      </w:r>
      <w:bookmarkEnd w:id="22"/>
      <w:bookmarkEnd w:id="23"/>
      <w:bookmarkEnd w:id="24"/>
    </w:p>
    <w:p w:rsidR="002B3FE6" w:rsidRPr="002B3FE6" w:rsidRDefault="002B3FE6" w:rsidP="002B3FE6">
      <w:pPr>
        <w:tabs>
          <w:tab w:val="left" w:pos="284"/>
        </w:tabs>
        <w:spacing w:before="240" w:after="120"/>
        <w:rPr>
          <w:rFonts w:ascii="Tahoma" w:hAnsi="Tahoma" w:cs="Tahoma"/>
          <w:b/>
          <w:sz w:val="20"/>
          <w:szCs w:val="20"/>
        </w:rPr>
      </w:pPr>
      <w:bookmarkStart w:id="25" w:name="_Toc149913365"/>
      <w:r w:rsidRPr="002B3FE6">
        <w:rPr>
          <w:rFonts w:ascii="Tahoma" w:hAnsi="Tahoma" w:cs="Tahoma"/>
          <w:b/>
          <w:sz w:val="20"/>
          <w:szCs w:val="20"/>
        </w:rPr>
        <w:t>Breve Histórico 2020-2022</w:t>
      </w:r>
      <w:bookmarkEnd w:id="25"/>
    </w:p>
    <w:p w:rsidR="002B3FE6" w:rsidRPr="00F5561E" w:rsidRDefault="002B3FE6" w:rsidP="00D93366">
      <w:pPr>
        <w:spacing w:after="120"/>
        <w:ind w:firstLine="709"/>
        <w:jc w:val="both"/>
        <w:rPr>
          <w:rFonts w:cs="Tahoma"/>
          <w:szCs w:val="20"/>
        </w:rPr>
      </w:pPr>
      <w:r w:rsidRPr="00F5561E">
        <w:rPr>
          <w:rFonts w:cs="Tahoma"/>
          <w:szCs w:val="20"/>
        </w:rPr>
        <w:t>Por sua vez, 2020 foi o ano em que as incertezas advindas da pandemia do Covid-19 trouxeram grande volatilidade ao segmento.  Devido ao tombo ocorrido em março, quando o Ibovespa fechou no negativo em -30,09%, o principal indicador da bolsa brasileira ficou no vermelho até o encerramento de outubro, com o resultado somente sendo revertido graças ao bom desempenho ocorrido nos últimos dois meses do ano, fechando 2020 com um pequena alta de 2,92%.</w:t>
      </w:r>
    </w:p>
    <w:p w:rsidR="002B3FE6" w:rsidRPr="00F5561E" w:rsidRDefault="002B3FE6" w:rsidP="00D93366">
      <w:pPr>
        <w:spacing w:after="120"/>
        <w:ind w:firstLine="709"/>
        <w:jc w:val="both"/>
        <w:rPr>
          <w:rFonts w:cs="Tahoma"/>
          <w:szCs w:val="20"/>
        </w:rPr>
      </w:pPr>
      <w:r w:rsidRPr="00F5561E">
        <w:rPr>
          <w:rFonts w:cs="Tahoma"/>
          <w:szCs w:val="20"/>
        </w:rPr>
        <w:t>Já em 2021, a renda variável novamente apresentou volatilidade, com o índice Ibovespa performando no vermelho em 07 dos 12 meses do ano, encerrando o exercício com um significativo prejuízo acumulado de</w:t>
      </w:r>
      <w:r>
        <w:rPr>
          <w:rFonts w:cs="Tahoma"/>
          <w:szCs w:val="20"/>
        </w:rPr>
        <w:t xml:space="preserve"> </w:t>
      </w:r>
      <w:r w:rsidRPr="00F5561E">
        <w:rPr>
          <w:rFonts w:cs="Tahoma"/>
          <w:szCs w:val="20"/>
        </w:rPr>
        <w:t xml:space="preserve">-11,99%. No geral, o comportamento do setor foi pautado por preocupações acerca da situação fiscal do país, da evolução da pandemia e da alta dos juros e da inflação, além de incertezas oriundas do cenário político doméstico. </w:t>
      </w:r>
    </w:p>
    <w:p w:rsidR="002B3FE6" w:rsidRPr="00F5561E" w:rsidRDefault="002B3FE6" w:rsidP="00D93366">
      <w:pPr>
        <w:spacing w:after="120"/>
        <w:ind w:firstLine="709"/>
        <w:jc w:val="both"/>
        <w:rPr>
          <w:rFonts w:cs="Tahoma"/>
          <w:szCs w:val="20"/>
        </w:rPr>
      </w:pPr>
      <w:r w:rsidRPr="00F5561E">
        <w:rPr>
          <w:rFonts w:cs="Tahoma"/>
          <w:szCs w:val="20"/>
        </w:rPr>
        <w:t>Repetindo os dois anos anteriores, 2022 também foi caracterizado pela volatilidade do segmento variável, que alternou perdas e ganhos mensais ao longo de todo exercício. Em meio a um cenário de austeridade fiscal, com as ações brasileiras precificadas próximas do piso e um dólar valorizado frente a moeda doméstica, o investidor optou pela Bovespa, especialmente nos papéis vinculados às commodities, razão pela</w:t>
      </w:r>
      <w:r>
        <w:rPr>
          <w:rFonts w:cs="Tahoma"/>
          <w:szCs w:val="20"/>
        </w:rPr>
        <w:t xml:space="preserve"> qual</w:t>
      </w:r>
      <w:r w:rsidRPr="00F5561E">
        <w:rPr>
          <w:rFonts w:cs="Tahoma"/>
          <w:szCs w:val="20"/>
        </w:rPr>
        <w:t xml:space="preserve"> o ingresso líquido de capital externo foi percebido em quase todos os meses do ano. </w:t>
      </w:r>
    </w:p>
    <w:p w:rsidR="002B3FE6" w:rsidRPr="00F5561E" w:rsidRDefault="002B3FE6" w:rsidP="00D93366">
      <w:pPr>
        <w:spacing w:after="120"/>
        <w:ind w:firstLine="709"/>
        <w:jc w:val="both"/>
        <w:rPr>
          <w:rFonts w:cs="Tahoma"/>
          <w:szCs w:val="20"/>
        </w:rPr>
      </w:pPr>
      <w:r w:rsidRPr="00F5561E">
        <w:rPr>
          <w:rFonts w:cs="Tahoma"/>
          <w:szCs w:val="20"/>
        </w:rPr>
        <w:t xml:space="preserve">A crise geopolítica do </w:t>
      </w:r>
      <w:r w:rsidR="00481984">
        <w:rPr>
          <w:rFonts w:cs="Tahoma"/>
          <w:szCs w:val="20"/>
        </w:rPr>
        <w:t>L</w:t>
      </w:r>
      <w:r w:rsidRPr="00F5561E">
        <w:rPr>
          <w:rFonts w:cs="Tahoma"/>
          <w:szCs w:val="20"/>
        </w:rPr>
        <w:t xml:space="preserve">este </w:t>
      </w:r>
      <w:r w:rsidR="00481984">
        <w:rPr>
          <w:rFonts w:cs="Tahoma"/>
          <w:szCs w:val="20"/>
        </w:rPr>
        <w:t>E</w:t>
      </w:r>
      <w:r w:rsidRPr="00F5561E">
        <w:rPr>
          <w:rFonts w:cs="Tahoma"/>
          <w:szCs w:val="20"/>
        </w:rPr>
        <w:t>uropeu também favoreceu o investimento na bolsa do país, uma vez que o capital estrangeiro passou a buscar nas economias emergentes opções mais rentáveis e seguras do que aquelas percebidas no mercado europeu, cuja iminente possibilidade de recessão diminuiu o apetite do investidor externo.</w:t>
      </w:r>
    </w:p>
    <w:p w:rsidR="002B3FE6" w:rsidRPr="00F5561E" w:rsidRDefault="002B3FE6" w:rsidP="00D93366">
      <w:pPr>
        <w:spacing w:after="120"/>
        <w:ind w:firstLine="709"/>
        <w:jc w:val="both"/>
        <w:rPr>
          <w:rFonts w:cs="Tahoma"/>
          <w:szCs w:val="20"/>
        </w:rPr>
      </w:pPr>
      <w:r w:rsidRPr="00F5561E">
        <w:rPr>
          <w:rFonts w:cs="Tahoma"/>
          <w:szCs w:val="20"/>
        </w:rPr>
        <w:t>Por outro lado, a expectativa quanto aos juros norte americanos e, principalmente, as incertezas acerca da pol</w:t>
      </w:r>
      <w:r>
        <w:rPr>
          <w:rFonts w:cs="Tahoma"/>
          <w:szCs w:val="20"/>
        </w:rPr>
        <w:t>í</w:t>
      </w:r>
      <w:r w:rsidRPr="00F5561E">
        <w:rPr>
          <w:rFonts w:cs="Tahoma"/>
          <w:szCs w:val="20"/>
        </w:rPr>
        <w:t>tica fiscal a ser implementada pelo novo governo eleito, trouxeram instabilidade à bolsa brasileira. Sobre a importância das questões fiscais, registra-se que até o mês de outubro, período da eleição presidencial, o Índice Ibovespa registrou um retorno acumulado no ano de 10,69%. Todavia, os meses de novembro e dezembro foram marcados por sucessivos prejuízos, com indicador devolvendo parte dos ganhos e encerrando o exercício com uma pequena variação positiva de 4,68%.</w:t>
      </w:r>
    </w:p>
    <w:p w:rsidR="002B3FE6" w:rsidRPr="00F5561E" w:rsidRDefault="00500468" w:rsidP="00500468">
      <w:pPr>
        <w:spacing w:after="120"/>
        <w:jc w:val="center"/>
        <w:rPr>
          <w:rFonts w:cs="Tahoma"/>
          <w:szCs w:val="20"/>
        </w:rPr>
      </w:pPr>
      <w:r w:rsidRPr="002150E6">
        <w:rPr>
          <w:noProof/>
        </w:rPr>
        <w:lastRenderedPageBreak/>
        <w:drawing>
          <wp:inline distT="0" distB="0" distL="0" distR="0">
            <wp:extent cx="4433906" cy="2478211"/>
            <wp:effectExtent l="0" t="0" r="24130" b="17780"/>
            <wp:docPr id="936537252" name="Gráfico 936537252"/>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rsidR="002B3FE6" w:rsidRPr="0054000D" w:rsidRDefault="002B3FE6" w:rsidP="00DA7372">
      <w:pPr>
        <w:spacing w:after="0" w:line="240" w:lineRule="auto"/>
        <w:ind w:left="993"/>
        <w:jc w:val="both"/>
        <w:rPr>
          <w:rFonts w:ascii="Tahoma" w:hAnsi="Tahoma" w:cs="Tahoma"/>
          <w:b/>
          <w:bCs/>
          <w:sz w:val="14"/>
          <w:szCs w:val="14"/>
        </w:rPr>
      </w:pPr>
      <w:r w:rsidRPr="0054000D">
        <w:rPr>
          <w:rFonts w:ascii="Tahoma" w:hAnsi="Tahoma" w:cs="Tahoma"/>
          <w:b/>
          <w:bCs/>
          <w:sz w:val="14"/>
          <w:szCs w:val="14"/>
        </w:rPr>
        <w:t>Gráfico  10 – Rentabilidade IBOVESPA (%) – 2017/202</w:t>
      </w:r>
      <w:r w:rsidR="00500468" w:rsidRPr="0054000D">
        <w:rPr>
          <w:rFonts w:ascii="Tahoma" w:hAnsi="Tahoma" w:cs="Tahoma"/>
          <w:b/>
          <w:bCs/>
          <w:sz w:val="14"/>
          <w:szCs w:val="14"/>
        </w:rPr>
        <w:t>3</w:t>
      </w:r>
    </w:p>
    <w:p w:rsidR="002B3FE6" w:rsidRPr="0054000D" w:rsidRDefault="002B3FE6" w:rsidP="00DA7372">
      <w:pPr>
        <w:spacing w:after="0" w:line="240" w:lineRule="auto"/>
        <w:ind w:left="993"/>
        <w:rPr>
          <w:rFonts w:ascii="Tahoma" w:hAnsi="Tahoma" w:cs="Tahoma"/>
          <w:sz w:val="12"/>
          <w:szCs w:val="14"/>
        </w:rPr>
      </w:pPr>
      <w:r w:rsidRPr="0054000D">
        <w:rPr>
          <w:rFonts w:ascii="Tahoma" w:hAnsi="Tahoma" w:cs="Tahoma"/>
          <w:sz w:val="12"/>
          <w:szCs w:val="14"/>
        </w:rPr>
        <w:t>Fonte: BM&amp;FBOVESPA.</w:t>
      </w:r>
    </w:p>
    <w:p w:rsidR="002B3FE6" w:rsidRDefault="002B3FE6" w:rsidP="002B3FE6">
      <w:pPr>
        <w:tabs>
          <w:tab w:val="left" w:pos="284"/>
        </w:tabs>
        <w:spacing w:after="120"/>
        <w:rPr>
          <w:rFonts w:ascii="Tahoma" w:hAnsi="Tahoma" w:cs="Tahoma"/>
          <w:b/>
          <w:sz w:val="20"/>
          <w:szCs w:val="20"/>
          <w:highlight w:val="cyan"/>
        </w:rPr>
      </w:pPr>
    </w:p>
    <w:p w:rsidR="00500468" w:rsidRPr="00500468" w:rsidRDefault="00DA7372" w:rsidP="00D93366">
      <w:pPr>
        <w:tabs>
          <w:tab w:val="left" w:pos="284"/>
        </w:tabs>
        <w:spacing w:after="120"/>
        <w:jc w:val="both"/>
        <w:rPr>
          <w:rFonts w:cs="Tahoma"/>
          <w:szCs w:val="20"/>
        </w:rPr>
      </w:pPr>
      <w:r>
        <w:rPr>
          <w:rFonts w:cs="Tahoma"/>
          <w:szCs w:val="20"/>
        </w:rPr>
        <w:tab/>
      </w:r>
      <w:r>
        <w:rPr>
          <w:rFonts w:cs="Tahoma"/>
          <w:szCs w:val="20"/>
        </w:rPr>
        <w:tab/>
      </w:r>
      <w:r w:rsidR="00500468" w:rsidRPr="00500468">
        <w:rPr>
          <w:rFonts w:cs="Tahoma"/>
          <w:szCs w:val="20"/>
        </w:rPr>
        <w:t>Já em 2023, o comportamento da renda variável foi impactado direta e principalmente pela expectativa acerca da condução dos juros norte americanos, implicando relativa volatilidade no setor ao longo do ano. A título de exemplo, cita-se que em novembro, mês que consolidou a expectativa acerca do in</w:t>
      </w:r>
      <w:r w:rsidR="00481984">
        <w:rPr>
          <w:rFonts w:cs="Tahoma"/>
          <w:szCs w:val="20"/>
        </w:rPr>
        <w:t>í</w:t>
      </w:r>
      <w:r w:rsidR="00500468" w:rsidRPr="00500468">
        <w:rPr>
          <w:rFonts w:cs="Tahoma"/>
          <w:szCs w:val="20"/>
        </w:rPr>
        <w:t xml:space="preserve">cio do ciclo de queda dos juros nos EUA, o Ibovespa registrou seu maior ganho mensal nos últimos 03 (três) anos, variando positivamente 16,04% e exercendo papel decisivo no ganho anual de 22,28% obtido ano </w:t>
      </w:r>
      <w:r w:rsidR="00481984">
        <w:rPr>
          <w:rFonts w:cs="Tahoma"/>
          <w:szCs w:val="20"/>
        </w:rPr>
        <w:t>anterior</w:t>
      </w:r>
      <w:r w:rsidR="00500468" w:rsidRPr="00500468">
        <w:rPr>
          <w:rFonts w:cs="Tahoma"/>
          <w:szCs w:val="20"/>
        </w:rPr>
        <w:t>.</w:t>
      </w:r>
    </w:p>
    <w:p w:rsidR="002B3FE6" w:rsidRPr="000C021C" w:rsidRDefault="002B3FE6" w:rsidP="000C021C">
      <w:pPr>
        <w:pStyle w:val="Ttulo2"/>
        <w:rPr>
          <w:rFonts w:ascii="Tahoma" w:hAnsi="Tahoma" w:cs="Tahoma"/>
          <w:b/>
          <w:color w:val="auto"/>
          <w:sz w:val="20"/>
          <w:szCs w:val="20"/>
        </w:rPr>
      </w:pPr>
      <w:bookmarkStart w:id="26" w:name="_Toc181778170"/>
      <w:r w:rsidRPr="000C021C">
        <w:rPr>
          <w:rFonts w:ascii="Tahoma" w:hAnsi="Tahoma" w:cs="Tahoma"/>
          <w:b/>
          <w:color w:val="auto"/>
          <w:sz w:val="20"/>
          <w:szCs w:val="20"/>
        </w:rPr>
        <w:t>Análise 2024 e Perspectivas para 2025</w:t>
      </w:r>
      <w:bookmarkEnd w:id="26"/>
    </w:p>
    <w:p w:rsidR="00500468" w:rsidRPr="00500468" w:rsidRDefault="00DA7372" w:rsidP="00D93366">
      <w:pPr>
        <w:tabs>
          <w:tab w:val="left" w:pos="284"/>
        </w:tabs>
        <w:spacing w:after="120"/>
        <w:jc w:val="both"/>
        <w:rPr>
          <w:rFonts w:cs="Tahoma"/>
          <w:szCs w:val="20"/>
        </w:rPr>
      </w:pPr>
      <w:r>
        <w:rPr>
          <w:rFonts w:cs="Tahoma"/>
          <w:szCs w:val="20"/>
        </w:rPr>
        <w:tab/>
      </w:r>
      <w:r>
        <w:rPr>
          <w:rFonts w:cs="Tahoma"/>
          <w:szCs w:val="20"/>
        </w:rPr>
        <w:tab/>
      </w:r>
      <w:r w:rsidR="00500468" w:rsidRPr="00500468">
        <w:rPr>
          <w:rFonts w:cs="Tahoma"/>
          <w:szCs w:val="20"/>
        </w:rPr>
        <w:t>De maneira análoga ao segmento de renda fixa, o comportamento da Bovespa em 2024 foi ditado principalmente em função da situação fiscal do país, fazendo com as variáveis domésticas se sobrepusessem às questões externas no que diz respeito à opção pelo segmento variável.</w:t>
      </w:r>
    </w:p>
    <w:p w:rsidR="00500468" w:rsidRPr="00500468" w:rsidRDefault="00DA7372" w:rsidP="00D93366">
      <w:pPr>
        <w:tabs>
          <w:tab w:val="left" w:pos="284"/>
        </w:tabs>
        <w:spacing w:after="120"/>
        <w:jc w:val="both"/>
        <w:rPr>
          <w:rFonts w:cs="Tahoma"/>
          <w:szCs w:val="20"/>
        </w:rPr>
      </w:pPr>
      <w:r>
        <w:rPr>
          <w:rFonts w:cs="Tahoma"/>
          <w:szCs w:val="20"/>
        </w:rPr>
        <w:tab/>
      </w:r>
      <w:r>
        <w:rPr>
          <w:rFonts w:cs="Tahoma"/>
          <w:szCs w:val="20"/>
        </w:rPr>
        <w:tab/>
      </w:r>
      <w:r w:rsidR="00500468" w:rsidRPr="00500468">
        <w:rPr>
          <w:rFonts w:cs="Tahoma"/>
          <w:szCs w:val="20"/>
        </w:rPr>
        <w:t>Em linha com a significativa e cont</w:t>
      </w:r>
      <w:r w:rsidR="00481984">
        <w:rPr>
          <w:rFonts w:cs="Tahoma"/>
          <w:szCs w:val="20"/>
        </w:rPr>
        <w:t>í</w:t>
      </w:r>
      <w:r w:rsidR="00500468" w:rsidRPr="00500468">
        <w:rPr>
          <w:rFonts w:cs="Tahoma"/>
          <w:szCs w:val="20"/>
        </w:rPr>
        <w:t>nua desvalorização cambial ocorrida no período, o índice Ibovespa fechou no vermelho em 06 (seis) oportunidades no período compreendido entre os meses de janeiro a outubro de 2024, acumulando um prejuízo parcial no ano de -3,34%.</w:t>
      </w:r>
    </w:p>
    <w:p w:rsidR="00500468" w:rsidRPr="00500468" w:rsidRDefault="00DA7372" w:rsidP="00D93366">
      <w:pPr>
        <w:tabs>
          <w:tab w:val="left" w:pos="284"/>
        </w:tabs>
        <w:spacing w:after="120"/>
        <w:jc w:val="both"/>
        <w:rPr>
          <w:rFonts w:cs="Tahoma"/>
          <w:szCs w:val="20"/>
        </w:rPr>
      </w:pPr>
      <w:r>
        <w:rPr>
          <w:rFonts w:cs="Tahoma"/>
          <w:szCs w:val="20"/>
        </w:rPr>
        <w:tab/>
      </w:r>
      <w:r>
        <w:rPr>
          <w:rFonts w:cs="Tahoma"/>
          <w:szCs w:val="20"/>
        </w:rPr>
        <w:tab/>
      </w:r>
      <w:r w:rsidR="00500468" w:rsidRPr="00500468">
        <w:rPr>
          <w:rFonts w:cs="Tahoma"/>
          <w:szCs w:val="20"/>
        </w:rPr>
        <w:t>Segundo o ranking recentemente organizado pela consultoria Elos Ayta, a bolsa brasileira registra o penúltimo pior desempenho dentre as principais bolsas mundiais no acumulado do ano, apresentando, em dólar, uma rentabilidade negativa de 19% no período, resultado superior apenas a bolsa mexicana que amargou um prejuízo de 25,46%.</w:t>
      </w:r>
    </w:p>
    <w:p w:rsidR="00500468" w:rsidRPr="00500468" w:rsidRDefault="00DA7372" w:rsidP="00D93366">
      <w:pPr>
        <w:tabs>
          <w:tab w:val="left" w:pos="284"/>
        </w:tabs>
        <w:spacing w:after="120"/>
        <w:jc w:val="both"/>
        <w:rPr>
          <w:rFonts w:cs="Tahoma"/>
          <w:szCs w:val="20"/>
        </w:rPr>
      </w:pPr>
      <w:r>
        <w:rPr>
          <w:rFonts w:cs="Tahoma"/>
          <w:szCs w:val="20"/>
        </w:rPr>
        <w:tab/>
      </w:r>
      <w:r>
        <w:rPr>
          <w:rFonts w:cs="Tahoma"/>
          <w:szCs w:val="20"/>
        </w:rPr>
        <w:tab/>
      </w:r>
      <w:r w:rsidR="00500468" w:rsidRPr="00500468">
        <w:rPr>
          <w:rFonts w:cs="Tahoma"/>
          <w:szCs w:val="20"/>
        </w:rPr>
        <w:t>Conforme já referido, a situação fiscal do país prejudica a ancoragem inflacionária, exercendo pressão sobre o IPCA, que por sua vez aumenta a dificuldade de se reduzir os juros do país. Não obstante, uma Selic elevada inibe o interesse por investimentos na bolsa, tornando mais atrativas opções de renda fixa, em especial aquelas atreladas a oferta de títulos públicos.</w:t>
      </w:r>
    </w:p>
    <w:p w:rsidR="00500468" w:rsidRPr="00500468" w:rsidRDefault="00DA7372" w:rsidP="00D93366">
      <w:pPr>
        <w:tabs>
          <w:tab w:val="left" w:pos="284"/>
        </w:tabs>
        <w:spacing w:after="120"/>
        <w:jc w:val="both"/>
        <w:rPr>
          <w:rFonts w:cs="Tahoma"/>
          <w:szCs w:val="20"/>
        </w:rPr>
      </w:pPr>
      <w:r>
        <w:rPr>
          <w:rFonts w:cs="Tahoma"/>
          <w:szCs w:val="20"/>
        </w:rPr>
        <w:tab/>
      </w:r>
      <w:r>
        <w:rPr>
          <w:rFonts w:cs="Tahoma"/>
          <w:szCs w:val="20"/>
        </w:rPr>
        <w:tab/>
      </w:r>
      <w:r w:rsidR="00500468" w:rsidRPr="00500468">
        <w:rPr>
          <w:rFonts w:cs="Tahoma"/>
          <w:szCs w:val="20"/>
        </w:rPr>
        <w:t>Somada à incerteza fiscal, alguns fatores externos também tem fomentado a prefer</w:t>
      </w:r>
      <w:r w:rsidR="00481984">
        <w:rPr>
          <w:rFonts w:cs="Tahoma"/>
          <w:szCs w:val="20"/>
        </w:rPr>
        <w:t>ê</w:t>
      </w:r>
      <w:r w:rsidR="00500468" w:rsidRPr="00500468">
        <w:rPr>
          <w:rFonts w:cs="Tahoma"/>
          <w:szCs w:val="20"/>
        </w:rPr>
        <w:t xml:space="preserve">ncia dos investidores estrangeiros por aportarem recursos em economias com menor grau de risco. Citam-se como exemplos mais recentes a incerteza nas eleições norte americanas, a lenta recuperação da economia chinesa e o agravamento das tensões geopolíticas, em especial no </w:t>
      </w:r>
      <w:r w:rsidR="007E1043">
        <w:rPr>
          <w:rFonts w:cs="Tahoma"/>
          <w:szCs w:val="20"/>
        </w:rPr>
        <w:t>L</w:t>
      </w:r>
      <w:r w:rsidR="00500468" w:rsidRPr="00500468">
        <w:rPr>
          <w:rFonts w:cs="Tahoma"/>
          <w:szCs w:val="20"/>
        </w:rPr>
        <w:t xml:space="preserve">este </w:t>
      </w:r>
      <w:r w:rsidR="007E1043">
        <w:rPr>
          <w:rFonts w:cs="Tahoma"/>
          <w:szCs w:val="20"/>
        </w:rPr>
        <w:t>E</w:t>
      </w:r>
      <w:r w:rsidR="00500468" w:rsidRPr="00500468">
        <w:rPr>
          <w:rFonts w:cs="Tahoma"/>
          <w:szCs w:val="20"/>
        </w:rPr>
        <w:t>uropeu (Rússia x Ucrânia) e no Oriente Médio.</w:t>
      </w:r>
    </w:p>
    <w:p w:rsidR="00500468" w:rsidRDefault="00DA7372" w:rsidP="00D93366">
      <w:pPr>
        <w:tabs>
          <w:tab w:val="left" w:pos="284"/>
        </w:tabs>
        <w:spacing w:after="120"/>
        <w:jc w:val="both"/>
        <w:rPr>
          <w:rFonts w:cs="Tahoma"/>
          <w:szCs w:val="20"/>
        </w:rPr>
      </w:pPr>
      <w:r>
        <w:rPr>
          <w:rFonts w:cs="Tahoma"/>
          <w:szCs w:val="20"/>
        </w:rPr>
        <w:lastRenderedPageBreak/>
        <w:tab/>
      </w:r>
      <w:r>
        <w:rPr>
          <w:rFonts w:cs="Tahoma"/>
          <w:szCs w:val="20"/>
        </w:rPr>
        <w:tab/>
      </w:r>
      <w:r w:rsidR="00500468" w:rsidRPr="00500468">
        <w:rPr>
          <w:rFonts w:cs="Tahoma"/>
          <w:szCs w:val="20"/>
        </w:rPr>
        <w:t>Repisa-se que até o mês de outubro, os investidores estrangeiros promoveram uma retirada líquida de recursos da Bovespa superior a R$ 30 bilhões, consistindo na maior evasão de recursos da bolsa brasileira desde 2020, ano marcado pelo in</w:t>
      </w:r>
      <w:r w:rsidR="007E1043">
        <w:rPr>
          <w:rFonts w:cs="Tahoma"/>
          <w:szCs w:val="20"/>
        </w:rPr>
        <w:t>í</w:t>
      </w:r>
      <w:r w:rsidR="00500468" w:rsidRPr="00500468">
        <w:rPr>
          <w:rFonts w:cs="Tahoma"/>
          <w:szCs w:val="20"/>
        </w:rPr>
        <w:t>cio da pandemia do novo coronavírus.</w:t>
      </w:r>
    </w:p>
    <w:p w:rsidR="00500468" w:rsidRDefault="00500468" w:rsidP="00500468">
      <w:pPr>
        <w:tabs>
          <w:tab w:val="left" w:pos="284"/>
        </w:tabs>
        <w:spacing w:after="120"/>
        <w:jc w:val="center"/>
        <w:rPr>
          <w:rFonts w:cs="Tahoma"/>
          <w:szCs w:val="20"/>
        </w:rPr>
      </w:pPr>
      <w:r w:rsidRPr="002150E6">
        <w:rPr>
          <w:noProof/>
        </w:rPr>
        <w:drawing>
          <wp:inline distT="0" distB="0" distL="0" distR="0">
            <wp:extent cx="4679950" cy="3216340"/>
            <wp:effectExtent l="0" t="0" r="25400" b="22225"/>
            <wp:docPr id="1109558581" name="Gráfico 1109558581"/>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500468" w:rsidRPr="0054000D" w:rsidRDefault="00500468" w:rsidP="00500468">
      <w:pPr>
        <w:spacing w:after="0" w:line="240" w:lineRule="auto"/>
        <w:ind w:left="851"/>
        <w:jc w:val="both"/>
        <w:rPr>
          <w:rFonts w:ascii="Tahoma" w:hAnsi="Tahoma" w:cs="Tahoma"/>
          <w:b/>
          <w:bCs/>
          <w:sz w:val="14"/>
          <w:szCs w:val="14"/>
        </w:rPr>
      </w:pPr>
      <w:r w:rsidRPr="0054000D">
        <w:rPr>
          <w:rFonts w:ascii="Tahoma" w:hAnsi="Tahoma" w:cs="Tahoma"/>
          <w:b/>
          <w:bCs/>
          <w:sz w:val="14"/>
          <w:szCs w:val="14"/>
        </w:rPr>
        <w:t>Gráfico 11 – Rentabilidade acumulada: IBrX e IBOVESPA (%)</w:t>
      </w:r>
    </w:p>
    <w:p w:rsidR="00500468" w:rsidRPr="0054000D" w:rsidRDefault="00500468" w:rsidP="00500468">
      <w:pPr>
        <w:spacing w:after="0" w:line="240" w:lineRule="auto"/>
        <w:ind w:left="851"/>
        <w:jc w:val="both"/>
        <w:rPr>
          <w:rFonts w:ascii="Tahoma" w:hAnsi="Tahoma" w:cs="Tahoma"/>
          <w:sz w:val="12"/>
          <w:szCs w:val="14"/>
        </w:rPr>
      </w:pPr>
      <w:r w:rsidRPr="0054000D">
        <w:rPr>
          <w:rFonts w:ascii="Tahoma" w:hAnsi="Tahoma" w:cs="Tahoma"/>
          <w:sz w:val="12"/>
          <w:szCs w:val="14"/>
        </w:rPr>
        <w:t>Fonte: BM&amp;FBOVESPA.</w:t>
      </w:r>
    </w:p>
    <w:p w:rsidR="00500468" w:rsidRPr="0054000D" w:rsidRDefault="00500468" w:rsidP="00500468">
      <w:pPr>
        <w:spacing w:after="0" w:line="240" w:lineRule="auto"/>
        <w:ind w:left="851"/>
        <w:rPr>
          <w:rFonts w:ascii="Tahoma" w:hAnsi="Tahoma" w:cs="Tahoma"/>
          <w:sz w:val="12"/>
          <w:szCs w:val="14"/>
        </w:rPr>
      </w:pPr>
      <w:r w:rsidRPr="0054000D">
        <w:rPr>
          <w:rFonts w:ascii="Tahoma" w:hAnsi="Tahoma" w:cs="Tahoma"/>
          <w:sz w:val="12"/>
          <w:szCs w:val="14"/>
        </w:rPr>
        <w:t>Nota: Janeiro a Outubro de 2024.</w:t>
      </w:r>
    </w:p>
    <w:p w:rsidR="00500468" w:rsidRDefault="00500468" w:rsidP="002B3FE6">
      <w:pPr>
        <w:tabs>
          <w:tab w:val="left" w:pos="284"/>
        </w:tabs>
        <w:spacing w:after="120"/>
        <w:rPr>
          <w:rFonts w:cs="Tahoma"/>
          <w:szCs w:val="20"/>
        </w:rPr>
      </w:pPr>
    </w:p>
    <w:p w:rsidR="00500468" w:rsidRPr="00500468" w:rsidRDefault="00DA7372" w:rsidP="00D93366">
      <w:pPr>
        <w:tabs>
          <w:tab w:val="left" w:pos="284"/>
        </w:tabs>
        <w:spacing w:after="120"/>
        <w:jc w:val="both"/>
        <w:rPr>
          <w:rFonts w:cs="Tahoma"/>
          <w:szCs w:val="20"/>
        </w:rPr>
      </w:pPr>
      <w:r>
        <w:rPr>
          <w:rFonts w:cs="Tahoma"/>
          <w:szCs w:val="20"/>
        </w:rPr>
        <w:tab/>
      </w:r>
      <w:r>
        <w:rPr>
          <w:rFonts w:cs="Tahoma"/>
          <w:szCs w:val="20"/>
        </w:rPr>
        <w:tab/>
      </w:r>
      <w:r w:rsidR="00500468" w:rsidRPr="00500468">
        <w:rPr>
          <w:rFonts w:cs="Tahoma"/>
          <w:szCs w:val="20"/>
        </w:rPr>
        <w:t xml:space="preserve">Para 2025, a tendência é de volatilidade na bolsa brasileira, com o movimento dos juros nos EUA sendo sopesado pela evolução das variáveis domésticas. Se por um lado a situação fiscal aumenta a percepção de risco do investidor estrangeiro, por outro, a possível continuidade de queda dos prêmios pagos pelos treasuries norte americanos diminui o incentivo à saída de recursos da Bovespa. </w:t>
      </w:r>
    </w:p>
    <w:p w:rsidR="00500468" w:rsidRPr="00500468" w:rsidRDefault="00DA7372" w:rsidP="00D93366">
      <w:pPr>
        <w:tabs>
          <w:tab w:val="left" w:pos="284"/>
        </w:tabs>
        <w:spacing w:after="120"/>
        <w:jc w:val="both"/>
        <w:rPr>
          <w:rFonts w:cs="Tahoma"/>
          <w:szCs w:val="20"/>
        </w:rPr>
      </w:pPr>
      <w:r>
        <w:rPr>
          <w:rFonts w:cs="Tahoma"/>
          <w:szCs w:val="20"/>
        </w:rPr>
        <w:tab/>
      </w:r>
      <w:r>
        <w:rPr>
          <w:rFonts w:cs="Tahoma"/>
          <w:szCs w:val="20"/>
        </w:rPr>
        <w:tab/>
      </w:r>
      <w:r w:rsidR="00500468" w:rsidRPr="00500468">
        <w:rPr>
          <w:rFonts w:cs="Tahoma"/>
          <w:szCs w:val="20"/>
        </w:rPr>
        <w:t>Em adição, a expectativa de juros altos no decorrer de 2025 também diminui a atratividade da Bolsa brasileira, que por sua vez aposta nas previsões mais otimistas de PIB como forma de atrair maiores investimentos nas empresas do país.</w:t>
      </w:r>
    </w:p>
    <w:p w:rsidR="00500468" w:rsidRPr="00500468" w:rsidRDefault="00DA7372" w:rsidP="00D93366">
      <w:pPr>
        <w:tabs>
          <w:tab w:val="left" w:pos="284"/>
        </w:tabs>
        <w:spacing w:after="120"/>
        <w:jc w:val="both"/>
        <w:rPr>
          <w:rFonts w:cs="Tahoma"/>
          <w:szCs w:val="20"/>
        </w:rPr>
      </w:pPr>
      <w:r>
        <w:rPr>
          <w:rFonts w:cs="Tahoma"/>
          <w:szCs w:val="20"/>
        </w:rPr>
        <w:tab/>
      </w:r>
      <w:r>
        <w:rPr>
          <w:rFonts w:cs="Tahoma"/>
          <w:szCs w:val="20"/>
        </w:rPr>
        <w:tab/>
      </w:r>
      <w:r w:rsidR="00500468" w:rsidRPr="00500468">
        <w:rPr>
          <w:rFonts w:cs="Tahoma"/>
          <w:szCs w:val="20"/>
        </w:rPr>
        <w:t>A priori, segmentos vinculados às chamadas utilities (indústrias de serviços ess</w:t>
      </w:r>
      <w:r w:rsidR="007E1043">
        <w:rPr>
          <w:rFonts w:cs="Tahoma"/>
          <w:szCs w:val="20"/>
        </w:rPr>
        <w:t>e</w:t>
      </w:r>
      <w:r w:rsidR="00500468" w:rsidRPr="00500468">
        <w:rPr>
          <w:rFonts w:cs="Tahoma"/>
          <w:szCs w:val="20"/>
        </w:rPr>
        <w:t>ncia</w:t>
      </w:r>
      <w:r w:rsidR="007E1043">
        <w:rPr>
          <w:rFonts w:cs="Tahoma"/>
          <w:szCs w:val="20"/>
        </w:rPr>
        <w:t>i</w:t>
      </w:r>
      <w:r w:rsidR="00500468" w:rsidRPr="00500468">
        <w:rPr>
          <w:rFonts w:cs="Tahoma"/>
          <w:szCs w:val="20"/>
        </w:rPr>
        <w:t>s como água, energia e gás canalizado) e ao setor financeiro são vistos como aqueles com maior possibilidade de retorno em 2025, ganhando destaque dentre o conjunto de ações que integram o índice Ibovespa.</w:t>
      </w:r>
    </w:p>
    <w:p w:rsidR="00500468" w:rsidRPr="00500468" w:rsidRDefault="00DA7372" w:rsidP="00D93366">
      <w:pPr>
        <w:tabs>
          <w:tab w:val="left" w:pos="284"/>
        </w:tabs>
        <w:spacing w:after="120"/>
        <w:jc w:val="both"/>
        <w:rPr>
          <w:rFonts w:cs="Tahoma"/>
          <w:szCs w:val="20"/>
        </w:rPr>
      </w:pPr>
      <w:r>
        <w:rPr>
          <w:rFonts w:cs="Tahoma"/>
          <w:szCs w:val="20"/>
        </w:rPr>
        <w:tab/>
      </w:r>
      <w:r>
        <w:rPr>
          <w:rFonts w:cs="Tahoma"/>
          <w:szCs w:val="20"/>
        </w:rPr>
        <w:tab/>
      </w:r>
      <w:r w:rsidR="00500468" w:rsidRPr="00500468">
        <w:rPr>
          <w:rFonts w:cs="Tahoma"/>
          <w:szCs w:val="20"/>
        </w:rPr>
        <w:t>Já as empresas intensivas em commodities não gozam de projeções mais otimistas, muito em função do baixo ritmo de atividade esperado na China, cuja produção industrial tem respondido de forma direta pela variação dos preços internacionais de tais produtos.</w:t>
      </w:r>
    </w:p>
    <w:p w:rsidR="00500468" w:rsidRPr="00500468" w:rsidRDefault="00DA7372" w:rsidP="00D93366">
      <w:pPr>
        <w:tabs>
          <w:tab w:val="left" w:pos="284"/>
        </w:tabs>
        <w:spacing w:after="120"/>
        <w:jc w:val="both"/>
        <w:rPr>
          <w:rFonts w:cs="Tahoma"/>
          <w:szCs w:val="20"/>
        </w:rPr>
      </w:pPr>
      <w:r>
        <w:rPr>
          <w:rFonts w:cs="Tahoma"/>
          <w:szCs w:val="20"/>
        </w:rPr>
        <w:tab/>
      </w:r>
      <w:r>
        <w:rPr>
          <w:rFonts w:cs="Tahoma"/>
          <w:szCs w:val="20"/>
        </w:rPr>
        <w:tab/>
      </w:r>
      <w:r w:rsidR="00500468" w:rsidRPr="00500468">
        <w:rPr>
          <w:rFonts w:cs="Tahoma"/>
          <w:szCs w:val="20"/>
        </w:rPr>
        <w:t xml:space="preserve">Ainda do ponto de vista externo, o já referido agravamento das tensões geopolíticas também tende a trazer instabilidade ao setor variável. O prolongamento de tais conflitos poderá criar novos </w:t>
      </w:r>
      <w:r w:rsidR="00500468" w:rsidRPr="00500468">
        <w:rPr>
          <w:rFonts w:cs="Tahoma"/>
          <w:szCs w:val="20"/>
        </w:rPr>
        <w:lastRenderedPageBreak/>
        <w:t>choques de oferta, aumentando os custos produtivos em detrimento às expectativas de lucro das empresas, ou seja, também afetando o investimento em ações.</w:t>
      </w:r>
    </w:p>
    <w:p w:rsidR="00500468" w:rsidRDefault="00DA7372" w:rsidP="00D93366">
      <w:pPr>
        <w:tabs>
          <w:tab w:val="left" w:pos="284"/>
        </w:tabs>
        <w:spacing w:after="120"/>
        <w:jc w:val="both"/>
        <w:rPr>
          <w:rFonts w:cs="Tahoma"/>
          <w:szCs w:val="20"/>
        </w:rPr>
      </w:pPr>
      <w:r>
        <w:rPr>
          <w:rFonts w:cs="Tahoma"/>
          <w:szCs w:val="20"/>
        </w:rPr>
        <w:tab/>
      </w:r>
      <w:r>
        <w:rPr>
          <w:rFonts w:cs="Tahoma"/>
          <w:szCs w:val="20"/>
        </w:rPr>
        <w:tab/>
      </w:r>
      <w:r w:rsidR="00500468" w:rsidRPr="00500468">
        <w:rPr>
          <w:rFonts w:cs="Tahoma"/>
          <w:szCs w:val="20"/>
        </w:rPr>
        <w:t>Assim, de maneira semelhante às recomendações tecidas nos últimos relatórios, sugere-se fortemente a opção por empresas que possuam algumas das seguintes vantagens competitivas: forte geração de caixa, menor dependência de crédito, dívida saudável, atuação em áreas intensivas em tecnologia e demanda com baixa elasticidade.</w:t>
      </w:r>
    </w:p>
    <w:p w:rsidR="002B3FE6" w:rsidRDefault="002B3FE6" w:rsidP="002B3FE6">
      <w:pPr>
        <w:tabs>
          <w:tab w:val="left" w:pos="284"/>
        </w:tabs>
        <w:spacing w:after="120"/>
        <w:rPr>
          <w:rFonts w:cs="Tahoma"/>
          <w:szCs w:val="20"/>
        </w:rPr>
      </w:pPr>
    </w:p>
    <w:p w:rsidR="007D4405" w:rsidRDefault="007D4405" w:rsidP="002B3FE6">
      <w:pPr>
        <w:tabs>
          <w:tab w:val="left" w:pos="284"/>
        </w:tabs>
        <w:spacing w:after="120"/>
        <w:rPr>
          <w:rFonts w:cs="Tahoma"/>
          <w:szCs w:val="20"/>
        </w:rPr>
      </w:pPr>
    </w:p>
    <w:p w:rsidR="007D4405" w:rsidRDefault="007D4405" w:rsidP="002B3FE6">
      <w:pPr>
        <w:tabs>
          <w:tab w:val="left" w:pos="284"/>
        </w:tabs>
        <w:spacing w:after="120"/>
        <w:rPr>
          <w:rFonts w:cs="Tahoma"/>
          <w:szCs w:val="20"/>
        </w:rPr>
      </w:pPr>
    </w:p>
    <w:p w:rsidR="007D4405" w:rsidRDefault="007D4405" w:rsidP="002B3FE6">
      <w:pPr>
        <w:tabs>
          <w:tab w:val="left" w:pos="284"/>
        </w:tabs>
        <w:spacing w:after="120"/>
        <w:rPr>
          <w:rFonts w:cs="Tahoma"/>
          <w:szCs w:val="20"/>
        </w:rPr>
      </w:pPr>
    </w:p>
    <w:p w:rsidR="007D4405" w:rsidRDefault="007D4405" w:rsidP="002B3FE6">
      <w:pPr>
        <w:tabs>
          <w:tab w:val="left" w:pos="284"/>
        </w:tabs>
        <w:spacing w:after="120"/>
        <w:rPr>
          <w:rFonts w:cs="Tahoma"/>
          <w:szCs w:val="20"/>
        </w:rPr>
      </w:pPr>
    </w:p>
    <w:p w:rsidR="007D4405" w:rsidRDefault="007D4405" w:rsidP="002B3FE6">
      <w:pPr>
        <w:tabs>
          <w:tab w:val="left" w:pos="284"/>
        </w:tabs>
        <w:spacing w:after="120"/>
        <w:rPr>
          <w:rFonts w:cs="Tahoma"/>
          <w:szCs w:val="20"/>
        </w:rPr>
      </w:pPr>
    </w:p>
    <w:p w:rsidR="007D4405" w:rsidRDefault="007D4405" w:rsidP="002B3FE6">
      <w:pPr>
        <w:tabs>
          <w:tab w:val="left" w:pos="284"/>
        </w:tabs>
        <w:spacing w:after="120"/>
        <w:rPr>
          <w:rFonts w:cs="Tahoma"/>
          <w:szCs w:val="20"/>
        </w:rPr>
      </w:pPr>
    </w:p>
    <w:p w:rsidR="007D4405" w:rsidRDefault="007D4405" w:rsidP="002B3FE6">
      <w:pPr>
        <w:tabs>
          <w:tab w:val="left" w:pos="284"/>
        </w:tabs>
        <w:spacing w:after="120"/>
        <w:rPr>
          <w:rFonts w:cs="Tahoma"/>
          <w:szCs w:val="20"/>
        </w:rPr>
      </w:pPr>
    </w:p>
    <w:p w:rsidR="007D4405" w:rsidRDefault="007D4405" w:rsidP="002B3FE6">
      <w:pPr>
        <w:tabs>
          <w:tab w:val="left" w:pos="284"/>
        </w:tabs>
        <w:spacing w:after="120"/>
        <w:rPr>
          <w:rFonts w:cs="Tahoma"/>
          <w:szCs w:val="20"/>
        </w:rPr>
      </w:pPr>
    </w:p>
    <w:p w:rsidR="007D4405" w:rsidRDefault="007D4405" w:rsidP="002B3FE6">
      <w:pPr>
        <w:tabs>
          <w:tab w:val="left" w:pos="284"/>
        </w:tabs>
        <w:spacing w:after="120"/>
        <w:rPr>
          <w:rFonts w:cs="Tahoma"/>
          <w:szCs w:val="20"/>
        </w:rPr>
      </w:pPr>
    </w:p>
    <w:p w:rsidR="007D4405" w:rsidRDefault="007D4405" w:rsidP="002B3FE6">
      <w:pPr>
        <w:tabs>
          <w:tab w:val="left" w:pos="284"/>
        </w:tabs>
        <w:spacing w:after="120"/>
        <w:rPr>
          <w:rFonts w:cs="Tahoma"/>
          <w:szCs w:val="20"/>
        </w:rPr>
      </w:pPr>
    </w:p>
    <w:p w:rsidR="007D4405" w:rsidRDefault="007D4405" w:rsidP="002B3FE6">
      <w:pPr>
        <w:tabs>
          <w:tab w:val="left" w:pos="284"/>
        </w:tabs>
        <w:spacing w:after="120"/>
        <w:rPr>
          <w:rFonts w:cs="Tahoma"/>
          <w:szCs w:val="20"/>
        </w:rPr>
      </w:pPr>
    </w:p>
    <w:p w:rsidR="007D4405" w:rsidRDefault="007D4405" w:rsidP="002B3FE6">
      <w:pPr>
        <w:tabs>
          <w:tab w:val="left" w:pos="284"/>
        </w:tabs>
        <w:spacing w:after="120"/>
        <w:rPr>
          <w:rFonts w:cs="Tahoma"/>
          <w:szCs w:val="20"/>
        </w:rPr>
      </w:pPr>
    </w:p>
    <w:p w:rsidR="007D4405" w:rsidRDefault="007D4405" w:rsidP="002B3FE6">
      <w:pPr>
        <w:tabs>
          <w:tab w:val="left" w:pos="284"/>
        </w:tabs>
        <w:spacing w:after="120"/>
        <w:rPr>
          <w:rFonts w:cs="Tahoma"/>
          <w:szCs w:val="20"/>
        </w:rPr>
      </w:pPr>
    </w:p>
    <w:p w:rsidR="007D4405" w:rsidRDefault="007D4405" w:rsidP="002B3FE6">
      <w:pPr>
        <w:tabs>
          <w:tab w:val="left" w:pos="284"/>
        </w:tabs>
        <w:spacing w:after="120"/>
        <w:rPr>
          <w:rFonts w:cs="Tahoma"/>
          <w:szCs w:val="20"/>
        </w:rPr>
      </w:pPr>
    </w:p>
    <w:p w:rsidR="007D4405" w:rsidRDefault="007D4405" w:rsidP="002B3FE6">
      <w:pPr>
        <w:tabs>
          <w:tab w:val="left" w:pos="284"/>
        </w:tabs>
        <w:spacing w:after="120"/>
        <w:rPr>
          <w:rFonts w:cs="Tahoma"/>
          <w:szCs w:val="20"/>
        </w:rPr>
      </w:pPr>
    </w:p>
    <w:p w:rsidR="007D4405" w:rsidRDefault="007D4405" w:rsidP="002B3FE6">
      <w:pPr>
        <w:tabs>
          <w:tab w:val="left" w:pos="284"/>
        </w:tabs>
        <w:spacing w:after="120"/>
        <w:rPr>
          <w:rFonts w:cs="Tahoma"/>
          <w:szCs w:val="20"/>
        </w:rPr>
      </w:pPr>
    </w:p>
    <w:p w:rsidR="007D4405" w:rsidRDefault="007D4405" w:rsidP="002B3FE6">
      <w:pPr>
        <w:tabs>
          <w:tab w:val="left" w:pos="284"/>
        </w:tabs>
        <w:spacing w:after="120"/>
        <w:rPr>
          <w:rFonts w:cs="Tahoma"/>
          <w:szCs w:val="20"/>
        </w:rPr>
      </w:pPr>
    </w:p>
    <w:p w:rsidR="007D4405" w:rsidRDefault="007D4405" w:rsidP="002B3FE6">
      <w:pPr>
        <w:tabs>
          <w:tab w:val="left" w:pos="284"/>
        </w:tabs>
        <w:spacing w:after="120"/>
        <w:rPr>
          <w:rFonts w:cs="Tahoma"/>
          <w:szCs w:val="20"/>
        </w:rPr>
      </w:pPr>
    </w:p>
    <w:p w:rsidR="007D4405" w:rsidRDefault="007D4405" w:rsidP="002B3FE6">
      <w:pPr>
        <w:tabs>
          <w:tab w:val="left" w:pos="284"/>
        </w:tabs>
        <w:spacing w:after="120"/>
        <w:rPr>
          <w:rFonts w:cs="Tahoma"/>
          <w:szCs w:val="20"/>
        </w:rPr>
      </w:pPr>
    </w:p>
    <w:p w:rsidR="007D4405" w:rsidRDefault="007D4405" w:rsidP="002B3FE6">
      <w:pPr>
        <w:tabs>
          <w:tab w:val="left" w:pos="284"/>
        </w:tabs>
        <w:spacing w:after="120"/>
        <w:rPr>
          <w:rFonts w:cs="Tahoma"/>
          <w:szCs w:val="20"/>
        </w:rPr>
      </w:pPr>
    </w:p>
    <w:p w:rsidR="007D4405" w:rsidRDefault="007D4405" w:rsidP="002B3FE6">
      <w:pPr>
        <w:tabs>
          <w:tab w:val="left" w:pos="284"/>
        </w:tabs>
        <w:spacing w:after="120"/>
        <w:rPr>
          <w:rFonts w:cs="Tahoma"/>
          <w:szCs w:val="20"/>
        </w:rPr>
      </w:pPr>
    </w:p>
    <w:p w:rsidR="007D4405" w:rsidRDefault="007D4405" w:rsidP="002B3FE6">
      <w:pPr>
        <w:tabs>
          <w:tab w:val="left" w:pos="284"/>
        </w:tabs>
        <w:spacing w:after="120"/>
        <w:rPr>
          <w:rFonts w:cs="Tahoma"/>
          <w:szCs w:val="20"/>
        </w:rPr>
      </w:pPr>
    </w:p>
    <w:p w:rsidR="007D4405" w:rsidRDefault="007D4405" w:rsidP="002B3FE6">
      <w:pPr>
        <w:tabs>
          <w:tab w:val="left" w:pos="284"/>
        </w:tabs>
        <w:spacing w:after="120"/>
        <w:rPr>
          <w:rFonts w:cs="Tahoma"/>
          <w:szCs w:val="20"/>
        </w:rPr>
      </w:pPr>
    </w:p>
    <w:p w:rsidR="007D4405" w:rsidRDefault="007D4405" w:rsidP="002B3FE6">
      <w:pPr>
        <w:tabs>
          <w:tab w:val="left" w:pos="284"/>
        </w:tabs>
        <w:spacing w:after="120"/>
        <w:rPr>
          <w:rFonts w:cs="Tahoma"/>
          <w:szCs w:val="20"/>
        </w:rPr>
      </w:pPr>
    </w:p>
    <w:p w:rsidR="007D4405" w:rsidRDefault="007D4405" w:rsidP="00AD12FB">
      <w:pPr>
        <w:spacing w:after="120"/>
        <w:ind w:firstLine="709"/>
        <w:jc w:val="both"/>
      </w:pPr>
    </w:p>
    <w:p w:rsidR="000C021C" w:rsidRDefault="000C021C" w:rsidP="00AD12FB">
      <w:pPr>
        <w:spacing w:after="120"/>
        <w:ind w:firstLine="709"/>
        <w:jc w:val="both"/>
      </w:pPr>
    </w:p>
    <w:p w:rsidR="000C021C" w:rsidRDefault="000C021C" w:rsidP="00AD12FB">
      <w:pPr>
        <w:spacing w:after="120"/>
        <w:ind w:firstLine="709"/>
        <w:jc w:val="both"/>
      </w:pPr>
    </w:p>
    <w:bookmarkStart w:id="27" w:name="_Toc181778171"/>
    <w:p w:rsidR="00465C63" w:rsidRPr="00171269" w:rsidRDefault="00AD12FB" w:rsidP="000C021C">
      <w:pPr>
        <w:pStyle w:val="Ttulo1"/>
        <w:rPr>
          <w:b w:val="0"/>
          <w:color w:val="17365D" w:themeColor="text2" w:themeShade="BF"/>
        </w:rPr>
      </w:pPr>
      <w:r w:rsidRPr="00E4782B">
        <w:object w:dxaOrig="2425" w:dyaOrig="2598">
          <v:shape id="_x0000_i1065" type="#_x0000_t75" style="width:9.4pt;height:8.15pt" o:ole="">
            <v:imagedata r:id="rId8" o:title=""/>
          </v:shape>
          <o:OLEObject Type="Embed" ProgID="CorelDRAW.Graphic.13" ShapeID="_x0000_i1065" DrawAspect="Content" ObjectID="_1792498601" r:id="rId62"/>
        </w:object>
      </w:r>
      <w:r w:rsidR="00465C63" w:rsidRPr="000C021C">
        <w:rPr>
          <w:rStyle w:val="Ttulo1Char"/>
          <w:b/>
          <w:bCs/>
          <w:sz w:val="22"/>
        </w:rPr>
        <w:t>CONSIDERAÇÕES GERAIS – CENÁRIO 202</w:t>
      </w:r>
      <w:r w:rsidR="00E16EDA" w:rsidRPr="000C021C">
        <w:rPr>
          <w:rStyle w:val="Ttulo1Char"/>
          <w:b/>
          <w:bCs/>
          <w:sz w:val="22"/>
        </w:rPr>
        <w:t>4</w:t>
      </w:r>
      <w:r w:rsidR="00465C63" w:rsidRPr="000C021C">
        <w:rPr>
          <w:rStyle w:val="Ttulo1Char"/>
          <w:b/>
          <w:bCs/>
          <w:sz w:val="22"/>
        </w:rPr>
        <w:t>/202</w:t>
      </w:r>
      <w:r w:rsidR="00E16EDA" w:rsidRPr="000C021C">
        <w:rPr>
          <w:rStyle w:val="Ttulo1Char"/>
          <w:b/>
          <w:bCs/>
          <w:sz w:val="22"/>
        </w:rPr>
        <w:t>5</w:t>
      </w:r>
      <w:r w:rsidR="00465C63" w:rsidRPr="000C021C">
        <w:rPr>
          <w:b w:val="0"/>
          <w:bCs/>
          <w:color w:val="17365D" w:themeColor="text2" w:themeShade="BF"/>
          <w:sz w:val="20"/>
        </w:rPr>
        <w:t xml:space="preserve"> </w:t>
      </w:r>
      <w:bookmarkEnd w:id="27"/>
      <w:r w:rsidR="00465C63" w:rsidRPr="00171269">
        <w:rPr>
          <w:color w:val="17365D" w:themeColor="text2" w:themeShade="BF"/>
          <w:sz w:val="30"/>
          <w:szCs w:val="30"/>
        </w:rPr>
        <w:object w:dxaOrig="3163" w:dyaOrig="3187">
          <v:shape id="_x0000_i1066" type="#_x0000_t75" style="width:21.9pt;height:23.15pt" o:ole="">
            <v:imagedata r:id="rId10" o:title=""/>
          </v:shape>
          <o:OLEObject Type="Embed" ProgID="CorelDRAW.Graphic.13" ShapeID="_x0000_i1066" DrawAspect="Content" ObjectID="_1792498602" r:id="rId63"/>
        </w:object>
      </w:r>
    </w:p>
    <w:p w:rsidR="00465C63" w:rsidRPr="00171269" w:rsidRDefault="00465C63" w:rsidP="00AD12FB">
      <w:pPr>
        <w:spacing w:after="120"/>
        <w:ind w:firstLine="709"/>
        <w:jc w:val="both"/>
        <w:rPr>
          <w:rFonts w:ascii="Tahoma" w:hAnsi="Tahoma" w:cs="Tahoma"/>
        </w:rPr>
      </w:pPr>
    </w:p>
    <w:p w:rsidR="00DA7372" w:rsidRPr="00DA7372" w:rsidRDefault="007E1128" w:rsidP="00DA7372">
      <w:pPr>
        <w:spacing w:after="120"/>
        <w:ind w:firstLine="709"/>
        <w:jc w:val="both"/>
        <w:rPr>
          <w:rFonts w:ascii="Tahoma" w:hAnsi="Tahoma" w:cs="Tahoma"/>
          <w:sz w:val="20"/>
          <w:szCs w:val="20"/>
        </w:rPr>
      </w:pPr>
      <w:r w:rsidRPr="00BE6FCD">
        <w:rPr>
          <w:rFonts w:ascii="Tahoma" w:hAnsi="Tahoma" w:cs="Tahoma"/>
          <w:sz w:val="20"/>
          <w:szCs w:val="20"/>
        </w:rPr>
        <w:t>Para concluir, sublinham-se as possíveis relações acerca das expectativas econômicas associadas ao comportamento efetivo constatado durante o ano de 202</w:t>
      </w:r>
      <w:r w:rsidR="002B3FE6">
        <w:rPr>
          <w:rFonts w:ascii="Tahoma" w:hAnsi="Tahoma" w:cs="Tahoma"/>
          <w:sz w:val="20"/>
          <w:szCs w:val="20"/>
        </w:rPr>
        <w:t>4</w:t>
      </w:r>
      <w:r w:rsidRPr="00BE6FCD">
        <w:rPr>
          <w:rFonts w:ascii="Tahoma" w:hAnsi="Tahoma" w:cs="Tahoma"/>
          <w:sz w:val="20"/>
          <w:szCs w:val="20"/>
        </w:rPr>
        <w:t>. Fazer estas assimilações ajudará na compreensão para daqui em diante tentar conseguir antecipar os movimentos econômicos e auferir resultados mais consistentes na gestão dos recursos dos regimes próprios de previdência social</w:t>
      </w:r>
      <w:r w:rsidR="00465C63" w:rsidRPr="00BE6FCD">
        <w:rPr>
          <w:rFonts w:ascii="Tahoma" w:hAnsi="Tahoma" w:cs="Tahoma"/>
          <w:sz w:val="20"/>
        </w:rPr>
        <w:t xml:space="preserve">, </w:t>
      </w:r>
      <w:r w:rsidR="008F04AC" w:rsidRPr="00BE6FCD">
        <w:rPr>
          <w:rFonts w:ascii="Tahoma" w:hAnsi="Tahoma" w:cs="Tahoma"/>
          <w:b/>
          <w:noProof/>
          <w:sz w:val="20"/>
        </w:rPr>
        <w:fldChar w:fldCharType="begin"/>
      </w:r>
      <w:r w:rsidR="002326E7" w:rsidRPr="00BE6FCD">
        <w:rPr>
          <w:rFonts w:ascii="Tahoma" w:hAnsi="Tahoma" w:cs="Tahoma"/>
          <w:b/>
          <w:noProof/>
          <w:sz w:val="20"/>
        </w:rPr>
        <w:instrText xml:space="preserve"> MERGEFIELD NOME_DO_FUNDO </w:instrText>
      </w:r>
      <w:r w:rsidR="008F04AC" w:rsidRPr="00BE6FCD">
        <w:rPr>
          <w:rFonts w:ascii="Tahoma" w:hAnsi="Tahoma" w:cs="Tahoma"/>
          <w:b/>
          <w:noProof/>
          <w:sz w:val="20"/>
        </w:rPr>
        <w:fldChar w:fldCharType="separate"/>
      </w:r>
      <w:r w:rsidR="004A232E" w:rsidRPr="00BC514D">
        <w:rPr>
          <w:rFonts w:ascii="Tahoma" w:hAnsi="Tahoma" w:cs="Tahoma"/>
          <w:b/>
          <w:noProof/>
          <w:sz w:val="20"/>
        </w:rPr>
        <w:t>REGIME PRÓPRIO DE PREVIDÊNCIA DO SERVIDOR DE ENTRE-IJUÍS</w:t>
      </w:r>
      <w:r w:rsidR="008F04AC" w:rsidRPr="00BE6FCD">
        <w:rPr>
          <w:rFonts w:ascii="Tahoma" w:hAnsi="Tahoma" w:cs="Tahoma"/>
          <w:b/>
          <w:noProof/>
          <w:sz w:val="20"/>
        </w:rPr>
        <w:fldChar w:fldCharType="end"/>
      </w:r>
      <w:r w:rsidR="00465C63" w:rsidRPr="00BE6FCD">
        <w:rPr>
          <w:rFonts w:ascii="Tahoma" w:hAnsi="Tahoma" w:cs="Tahoma"/>
          <w:b/>
          <w:sz w:val="20"/>
        </w:rPr>
        <w:t xml:space="preserve"> </w:t>
      </w:r>
      <w:r w:rsidRPr="00BE6FCD">
        <w:rPr>
          <w:rFonts w:ascii="Tahoma" w:hAnsi="Tahoma" w:cs="Tahoma"/>
          <w:sz w:val="20"/>
          <w:szCs w:val="20"/>
        </w:rPr>
        <w:t xml:space="preserve">neste caso. </w:t>
      </w:r>
      <w:r w:rsidR="00DA7372" w:rsidRPr="00DA7372">
        <w:rPr>
          <w:rFonts w:ascii="Tahoma" w:hAnsi="Tahoma" w:cs="Tahoma"/>
          <w:sz w:val="20"/>
          <w:szCs w:val="20"/>
        </w:rPr>
        <w:t>As expectativas para o exercício de 2025, até o presente momento, sinalizam um caminho que passa pela continuidade do ciclo de queda dos juros e da inflação em termos globais, possibilitando que a economia literalmente “dobre a esquina”, conforme o sugestivo título dado pela OCDE ao seu relatório de previsões macroeconômicas para o presente biênio.</w:t>
      </w:r>
    </w:p>
    <w:p w:rsidR="00DA7372" w:rsidRPr="00DA7372" w:rsidRDefault="00DA7372" w:rsidP="00DA7372">
      <w:pPr>
        <w:spacing w:after="120"/>
        <w:ind w:firstLine="709"/>
        <w:jc w:val="both"/>
        <w:rPr>
          <w:rFonts w:ascii="Tahoma" w:hAnsi="Tahoma" w:cs="Tahoma"/>
          <w:sz w:val="20"/>
          <w:szCs w:val="20"/>
        </w:rPr>
      </w:pPr>
      <w:r w:rsidRPr="00DA7372">
        <w:rPr>
          <w:rFonts w:ascii="Tahoma" w:hAnsi="Tahoma" w:cs="Tahoma"/>
          <w:sz w:val="20"/>
          <w:szCs w:val="20"/>
        </w:rPr>
        <w:t>Sob o viés da economia doméstica, o principal desafio é recuperar a confiança na ancoragem inflacionária, para tanto, não sendo suficiente a manutenção de determinados níveis de contracionismo monetário, mas sim, uma pol</w:t>
      </w:r>
      <w:r w:rsidR="007E1043">
        <w:rPr>
          <w:rFonts w:ascii="Tahoma" w:hAnsi="Tahoma" w:cs="Tahoma"/>
          <w:sz w:val="20"/>
          <w:szCs w:val="20"/>
        </w:rPr>
        <w:t>í</w:t>
      </w:r>
      <w:r w:rsidRPr="00DA7372">
        <w:rPr>
          <w:rFonts w:ascii="Tahoma" w:hAnsi="Tahoma" w:cs="Tahoma"/>
          <w:sz w:val="20"/>
          <w:szCs w:val="20"/>
        </w:rPr>
        <w:t>tica suficientemente capaz de sinalizar ao mercado o compromisso do governo em equilibrar as contas públicas, pelo menos no que se refere à retomada de superávits primários.</w:t>
      </w:r>
    </w:p>
    <w:p w:rsidR="00DA7372" w:rsidRPr="00DA7372" w:rsidRDefault="00DA7372" w:rsidP="00DA7372">
      <w:pPr>
        <w:spacing w:after="120"/>
        <w:ind w:firstLine="709"/>
        <w:jc w:val="both"/>
        <w:rPr>
          <w:rFonts w:ascii="Tahoma" w:hAnsi="Tahoma" w:cs="Tahoma"/>
          <w:sz w:val="20"/>
          <w:szCs w:val="20"/>
        </w:rPr>
      </w:pPr>
      <w:r w:rsidRPr="00DA7372">
        <w:rPr>
          <w:rFonts w:ascii="Tahoma" w:hAnsi="Tahoma" w:cs="Tahoma"/>
          <w:sz w:val="20"/>
          <w:szCs w:val="20"/>
        </w:rPr>
        <w:t xml:space="preserve">Nesse contexto, a calibragem da política monetária a ser conferida pelo Bacen precisará mais uma vez estabelecer um adequado equilíbrio entre controle inflacionário e incentivo ao crescimento econômico, uma vez que não resta garantida idêntica resiliência observada em 2024. Com um espaço fiscal cada vez mais reduzido, </w:t>
      </w:r>
      <w:r w:rsidR="007E1043">
        <w:rPr>
          <w:rFonts w:ascii="Tahoma" w:hAnsi="Tahoma" w:cs="Tahoma"/>
          <w:sz w:val="20"/>
          <w:szCs w:val="20"/>
        </w:rPr>
        <w:t xml:space="preserve">torna-se cada vez menos provável </w:t>
      </w:r>
      <w:r w:rsidRPr="00DA7372">
        <w:rPr>
          <w:rFonts w:ascii="Tahoma" w:hAnsi="Tahoma" w:cs="Tahoma"/>
          <w:sz w:val="20"/>
          <w:szCs w:val="20"/>
        </w:rPr>
        <w:t xml:space="preserve">a tendência de que ações governamentais consigam </w:t>
      </w:r>
      <w:r w:rsidR="007E1043">
        <w:rPr>
          <w:rFonts w:ascii="Tahoma" w:hAnsi="Tahoma" w:cs="Tahoma"/>
          <w:sz w:val="20"/>
          <w:szCs w:val="20"/>
        </w:rPr>
        <w:t>continuar</w:t>
      </w:r>
      <w:r w:rsidRPr="00DA7372">
        <w:rPr>
          <w:rFonts w:ascii="Tahoma" w:hAnsi="Tahoma" w:cs="Tahoma"/>
          <w:sz w:val="20"/>
          <w:szCs w:val="20"/>
        </w:rPr>
        <w:t xml:space="preserve"> mitigando </w:t>
      </w:r>
      <w:r w:rsidR="007E1043">
        <w:rPr>
          <w:rFonts w:ascii="Tahoma" w:hAnsi="Tahoma" w:cs="Tahoma"/>
          <w:sz w:val="20"/>
          <w:szCs w:val="20"/>
        </w:rPr>
        <w:t xml:space="preserve">os </w:t>
      </w:r>
      <w:r w:rsidRPr="00DA7372">
        <w:rPr>
          <w:rFonts w:ascii="Tahoma" w:hAnsi="Tahoma" w:cs="Tahoma"/>
          <w:sz w:val="20"/>
          <w:szCs w:val="20"/>
        </w:rPr>
        <w:t>efeitos de uma política monetária contracionista</w:t>
      </w:r>
      <w:r w:rsidR="007E1043">
        <w:rPr>
          <w:rFonts w:ascii="Tahoma" w:hAnsi="Tahoma" w:cs="Tahoma"/>
          <w:sz w:val="20"/>
          <w:szCs w:val="20"/>
        </w:rPr>
        <w:t>.</w:t>
      </w:r>
    </w:p>
    <w:p w:rsidR="00DA7372" w:rsidRPr="00DA7372" w:rsidRDefault="00DA7372" w:rsidP="00DA7372">
      <w:pPr>
        <w:spacing w:after="120"/>
        <w:ind w:firstLine="709"/>
        <w:jc w:val="both"/>
        <w:rPr>
          <w:rFonts w:ascii="Tahoma" w:hAnsi="Tahoma" w:cs="Tahoma"/>
          <w:sz w:val="20"/>
          <w:szCs w:val="20"/>
        </w:rPr>
      </w:pPr>
      <w:r w:rsidRPr="00DA7372">
        <w:rPr>
          <w:rFonts w:ascii="Tahoma" w:hAnsi="Tahoma" w:cs="Tahoma"/>
          <w:sz w:val="20"/>
          <w:szCs w:val="20"/>
        </w:rPr>
        <w:t>Ainda sob o ponto de vista fiscal, vislumbra-se como principal desafio ao governo conciliar um orçamento já bastante ajustado com a ampliação e até mesmo manutenção dos diversos programas sociais em curso, relembrando que</w:t>
      </w:r>
      <w:r w:rsidR="007E1043">
        <w:rPr>
          <w:rFonts w:ascii="Tahoma" w:hAnsi="Tahoma" w:cs="Tahoma"/>
          <w:sz w:val="20"/>
          <w:szCs w:val="20"/>
        </w:rPr>
        <w:t>,</w:t>
      </w:r>
      <w:r w:rsidRPr="00DA7372">
        <w:rPr>
          <w:rFonts w:ascii="Tahoma" w:hAnsi="Tahoma" w:cs="Tahoma"/>
          <w:sz w:val="20"/>
          <w:szCs w:val="20"/>
        </w:rPr>
        <w:t xml:space="preserve"> a grave crise enfrentada pelo Rio Grande do Sul não somente aumentou o desequilíbrio das contas públicas como vem ensejando outras pol</w:t>
      </w:r>
      <w:r w:rsidR="007E1043">
        <w:rPr>
          <w:rFonts w:ascii="Tahoma" w:hAnsi="Tahoma" w:cs="Tahoma"/>
          <w:sz w:val="20"/>
          <w:szCs w:val="20"/>
        </w:rPr>
        <w:t>í</w:t>
      </w:r>
      <w:r w:rsidRPr="00DA7372">
        <w:rPr>
          <w:rFonts w:ascii="Tahoma" w:hAnsi="Tahoma" w:cs="Tahoma"/>
          <w:sz w:val="20"/>
          <w:szCs w:val="20"/>
        </w:rPr>
        <w:t>ticas de incentivos por parte dos demais estados da federação.</w:t>
      </w:r>
    </w:p>
    <w:p w:rsidR="00DA7372" w:rsidRPr="00DA7372" w:rsidRDefault="00DA7372" w:rsidP="00DA7372">
      <w:pPr>
        <w:spacing w:after="120"/>
        <w:ind w:firstLine="709"/>
        <w:jc w:val="both"/>
        <w:rPr>
          <w:rFonts w:ascii="Tahoma" w:hAnsi="Tahoma" w:cs="Tahoma"/>
          <w:sz w:val="20"/>
          <w:szCs w:val="20"/>
        </w:rPr>
      </w:pPr>
      <w:r w:rsidRPr="00DA7372">
        <w:rPr>
          <w:rFonts w:ascii="Tahoma" w:hAnsi="Tahoma" w:cs="Tahoma"/>
          <w:sz w:val="20"/>
          <w:szCs w:val="20"/>
        </w:rPr>
        <w:t xml:space="preserve">Diante deste cenário, a preferência segue sendo por títulos de prazos mais curtos, pelo menos no primeiro semestre de 2025, período em que as incertezas quanto aos desdobramentos da troca de comando a ser efetivada na Casa Branca restarão potencializadas. Uma vez confirmada a adoção das políticas protecionistas ventiladas durante a campanha presidencial, um possível movimento inflacionário tende a ocorrer nos EUA, tornando incerta a continuidade do ciclo de queda dos juros e com isso aumentando o risco de evasão das economias emergentes. </w:t>
      </w:r>
    </w:p>
    <w:p w:rsidR="00DA7372" w:rsidRPr="00DA7372" w:rsidRDefault="00DA7372" w:rsidP="00DA7372">
      <w:pPr>
        <w:spacing w:after="120"/>
        <w:ind w:firstLine="709"/>
        <w:jc w:val="both"/>
        <w:rPr>
          <w:rFonts w:ascii="Tahoma" w:hAnsi="Tahoma" w:cs="Tahoma"/>
          <w:sz w:val="20"/>
          <w:szCs w:val="20"/>
        </w:rPr>
      </w:pPr>
      <w:r w:rsidRPr="00DA7372">
        <w:rPr>
          <w:rFonts w:ascii="Tahoma" w:hAnsi="Tahoma" w:cs="Tahoma"/>
          <w:sz w:val="20"/>
          <w:szCs w:val="20"/>
        </w:rPr>
        <w:t>No mesmo sentido, o primeiro semestre de 2025 poderá servir como um grande termômetro no que diz respeito aos rumos da inflação no Brasil,</w:t>
      </w:r>
      <w:r w:rsidR="007E1043">
        <w:rPr>
          <w:rFonts w:ascii="Tahoma" w:hAnsi="Tahoma" w:cs="Tahoma"/>
          <w:sz w:val="20"/>
          <w:szCs w:val="20"/>
        </w:rPr>
        <w:t xml:space="preserve"> o que,</w:t>
      </w:r>
      <w:r w:rsidRPr="00DA7372">
        <w:rPr>
          <w:rFonts w:ascii="Tahoma" w:hAnsi="Tahoma" w:cs="Tahoma"/>
          <w:sz w:val="20"/>
          <w:szCs w:val="20"/>
        </w:rPr>
        <w:t xml:space="preserve"> </w:t>
      </w:r>
      <w:r w:rsidR="007E1043">
        <w:rPr>
          <w:rFonts w:ascii="Tahoma" w:hAnsi="Tahoma" w:cs="Tahoma"/>
          <w:sz w:val="20"/>
          <w:szCs w:val="20"/>
        </w:rPr>
        <w:t>a</w:t>
      </w:r>
      <w:r w:rsidRPr="00DA7372">
        <w:rPr>
          <w:rFonts w:ascii="Tahoma" w:hAnsi="Tahoma" w:cs="Tahoma"/>
          <w:sz w:val="20"/>
          <w:szCs w:val="20"/>
        </w:rPr>
        <w:t>o fim e ao cabo</w:t>
      </w:r>
      <w:r w:rsidR="007E1043">
        <w:rPr>
          <w:rFonts w:ascii="Tahoma" w:hAnsi="Tahoma" w:cs="Tahoma"/>
          <w:sz w:val="20"/>
          <w:szCs w:val="20"/>
        </w:rPr>
        <w:t>,</w:t>
      </w:r>
      <w:r w:rsidRPr="00DA7372">
        <w:rPr>
          <w:rFonts w:ascii="Tahoma" w:hAnsi="Tahoma" w:cs="Tahoma"/>
          <w:sz w:val="20"/>
          <w:szCs w:val="20"/>
        </w:rPr>
        <w:t xml:space="preserve"> desempenhará um papel fundamental na condução da pol</w:t>
      </w:r>
      <w:r w:rsidR="007E1043">
        <w:rPr>
          <w:rFonts w:ascii="Tahoma" w:hAnsi="Tahoma" w:cs="Tahoma"/>
          <w:sz w:val="20"/>
          <w:szCs w:val="20"/>
        </w:rPr>
        <w:t>í</w:t>
      </w:r>
      <w:r w:rsidRPr="00DA7372">
        <w:rPr>
          <w:rFonts w:ascii="Tahoma" w:hAnsi="Tahoma" w:cs="Tahoma"/>
          <w:sz w:val="20"/>
          <w:szCs w:val="20"/>
        </w:rPr>
        <w:t>tica monetária, em especial na definição da Selic.</w:t>
      </w:r>
    </w:p>
    <w:p w:rsidR="00717DC4" w:rsidRDefault="00DA7372" w:rsidP="00DA7372">
      <w:pPr>
        <w:spacing w:after="120"/>
        <w:ind w:firstLine="709"/>
        <w:jc w:val="both"/>
        <w:rPr>
          <w:rFonts w:ascii="Tahoma" w:hAnsi="Tahoma" w:cs="Tahoma"/>
          <w:sz w:val="20"/>
          <w:szCs w:val="20"/>
        </w:rPr>
      </w:pPr>
      <w:r w:rsidRPr="00DA7372">
        <w:rPr>
          <w:rFonts w:ascii="Tahoma" w:hAnsi="Tahoma" w:cs="Tahoma"/>
          <w:sz w:val="20"/>
          <w:szCs w:val="20"/>
        </w:rPr>
        <w:t>Todo esse contexto requer prudência na escolha pelas melhores opções, recomendando-se uma adequada e obrigatória diversificação do portfólio, cujas revisões periódicas deverão observar a evolução das variáveis macroeconômicas aqui ressaltadas. Nesse sentido, ganha cada vez mais importância as atividades de assessoramento técnico e profissional especializado junto à gestão pública.</w:t>
      </w:r>
    </w:p>
    <w:p w:rsidR="007D4405" w:rsidRDefault="007D4405" w:rsidP="00DA7372">
      <w:pPr>
        <w:spacing w:after="120"/>
        <w:ind w:firstLine="709"/>
        <w:jc w:val="both"/>
        <w:rPr>
          <w:rFonts w:ascii="Tahoma" w:hAnsi="Tahoma" w:cs="Tahoma"/>
          <w:sz w:val="20"/>
          <w:szCs w:val="20"/>
        </w:rPr>
      </w:pPr>
    </w:p>
    <w:p w:rsidR="007D4405" w:rsidRDefault="007D4405" w:rsidP="00DA7372">
      <w:pPr>
        <w:spacing w:after="120"/>
        <w:ind w:firstLine="709"/>
        <w:jc w:val="both"/>
        <w:rPr>
          <w:rFonts w:ascii="Tahoma" w:hAnsi="Tahoma" w:cs="Tahoma"/>
          <w:sz w:val="20"/>
          <w:szCs w:val="20"/>
        </w:rPr>
      </w:pPr>
    </w:p>
    <w:p w:rsidR="007D4405" w:rsidRPr="00D76F44" w:rsidRDefault="007D4405" w:rsidP="00DA7372">
      <w:pPr>
        <w:spacing w:after="120"/>
        <w:ind w:firstLine="709"/>
        <w:jc w:val="both"/>
        <w:rPr>
          <w:rFonts w:ascii="Tahoma" w:hAnsi="Tahoma" w:cs="Tahoma"/>
          <w:sz w:val="20"/>
          <w:szCs w:val="20"/>
        </w:rPr>
      </w:pPr>
    </w:p>
    <w:bookmarkStart w:id="28" w:name="_Toc181778172"/>
    <w:p w:rsidR="00465C63" w:rsidRPr="00E8601E" w:rsidRDefault="00AD12FB" w:rsidP="000C021C">
      <w:pPr>
        <w:pStyle w:val="Ttulo1"/>
        <w:rPr>
          <w:sz w:val="20"/>
        </w:rPr>
      </w:pPr>
      <w:r w:rsidRPr="00E4782B">
        <w:object w:dxaOrig="2425" w:dyaOrig="2598">
          <v:shape id="_x0000_i1067" type="#_x0000_t75" style="width:9.4pt;height:8.15pt" o:ole="">
            <v:imagedata r:id="rId8" o:title=""/>
          </v:shape>
          <o:OLEObject Type="Embed" ProgID="CorelDRAW.Graphic.13" ShapeID="_x0000_i1067" DrawAspect="Content" ObjectID="_1792498603" r:id="rId64"/>
        </w:object>
      </w:r>
      <w:r w:rsidR="00465C63" w:rsidRPr="000C021C">
        <w:rPr>
          <w:rStyle w:val="Ttulo1Char"/>
          <w:b/>
          <w:bCs/>
          <w:sz w:val="22"/>
        </w:rPr>
        <w:t>CONTROLE DE RISCOS</w:t>
      </w:r>
      <w:r w:rsidR="00465C63" w:rsidRPr="00E8601E">
        <w:rPr>
          <w:color w:val="17365D" w:themeColor="text2" w:themeShade="BF"/>
          <w:sz w:val="20"/>
        </w:rPr>
        <w:t xml:space="preserve"> </w:t>
      </w:r>
      <w:bookmarkEnd w:id="28"/>
      <w:r w:rsidR="00465C63" w:rsidRPr="00E8601E">
        <w:rPr>
          <w:sz w:val="20"/>
        </w:rPr>
        <w:object w:dxaOrig="3163" w:dyaOrig="3187">
          <v:shape id="_x0000_i1068" type="#_x0000_t75" style="width:21.9pt;height:23.15pt" o:ole="">
            <v:imagedata r:id="rId10" o:title=""/>
          </v:shape>
          <o:OLEObject Type="Embed" ProgID="CorelDRAW.Graphic.13" ShapeID="_x0000_i1068" DrawAspect="Content" ObjectID="_1792498604" r:id="rId65"/>
        </w:object>
      </w:r>
    </w:p>
    <w:p w:rsidR="00465C63" w:rsidRPr="00E8601E" w:rsidRDefault="00465C63" w:rsidP="00AD12FB">
      <w:pPr>
        <w:spacing w:after="120"/>
        <w:ind w:firstLine="709"/>
        <w:jc w:val="both"/>
        <w:rPr>
          <w:rFonts w:ascii="Tahoma" w:hAnsi="Tahoma" w:cs="Tahoma"/>
          <w:sz w:val="20"/>
        </w:rPr>
      </w:pPr>
    </w:p>
    <w:p w:rsidR="00465C63" w:rsidRPr="00D31186" w:rsidRDefault="000973AA" w:rsidP="00AD12FB">
      <w:pPr>
        <w:spacing w:after="120"/>
        <w:ind w:firstLine="709"/>
        <w:jc w:val="both"/>
        <w:rPr>
          <w:rFonts w:ascii="Tahoma" w:hAnsi="Tahoma" w:cs="Tahoma"/>
          <w:sz w:val="20"/>
        </w:rPr>
      </w:pPr>
      <w:r w:rsidRPr="00D31186">
        <w:rPr>
          <w:rFonts w:ascii="Tahoma" w:hAnsi="Tahoma" w:cs="Tahoma"/>
          <w:sz w:val="20"/>
        </w:rPr>
        <w:t xml:space="preserve">O </w:t>
      </w:r>
      <w:r w:rsidR="008F04AC" w:rsidRPr="00D31186">
        <w:rPr>
          <w:rFonts w:ascii="Tahoma" w:hAnsi="Tahoma" w:cs="Tahoma"/>
          <w:b/>
          <w:bCs/>
          <w:sz w:val="20"/>
        </w:rPr>
        <w:fldChar w:fldCharType="begin"/>
      </w:r>
      <w:r w:rsidRPr="00D31186">
        <w:rPr>
          <w:rFonts w:ascii="Tahoma" w:hAnsi="Tahoma" w:cs="Tahoma"/>
          <w:b/>
          <w:bCs/>
          <w:sz w:val="20"/>
        </w:rPr>
        <w:instrText xml:space="preserve"> MERGEFIELD NOME_DO_FUNDO </w:instrText>
      </w:r>
      <w:r w:rsidR="008F04AC" w:rsidRPr="00D31186">
        <w:rPr>
          <w:rFonts w:ascii="Tahoma" w:hAnsi="Tahoma" w:cs="Tahoma"/>
          <w:b/>
          <w:bCs/>
          <w:sz w:val="20"/>
        </w:rPr>
        <w:fldChar w:fldCharType="separate"/>
      </w:r>
      <w:r w:rsidR="004A232E" w:rsidRPr="00BC514D">
        <w:rPr>
          <w:rFonts w:ascii="Tahoma" w:hAnsi="Tahoma" w:cs="Tahoma"/>
          <w:b/>
          <w:bCs/>
          <w:noProof/>
          <w:sz w:val="20"/>
        </w:rPr>
        <w:t>REGIME PRÓPRIO DE PREVIDÊNCIA DO SERVIDOR DE ENTRE-IJUÍS</w:t>
      </w:r>
      <w:r w:rsidR="008F04AC" w:rsidRPr="00D31186">
        <w:rPr>
          <w:rFonts w:ascii="Tahoma" w:hAnsi="Tahoma" w:cs="Tahoma"/>
          <w:b/>
          <w:bCs/>
          <w:sz w:val="20"/>
        </w:rPr>
        <w:fldChar w:fldCharType="end"/>
      </w:r>
      <w:r w:rsidRPr="00D31186">
        <w:rPr>
          <w:rFonts w:ascii="Tahoma" w:hAnsi="Tahoma" w:cs="Tahoma"/>
          <w:sz w:val="20"/>
        </w:rPr>
        <w:t xml:space="preserve"> fará o controle de riscos dos investimentos através do acompanhamento dos riscos de mercado, de liquidez, crédito, descasamento e </w:t>
      </w:r>
      <w:r w:rsidR="004276F4" w:rsidRPr="00D31186">
        <w:rPr>
          <w:rFonts w:ascii="Tahoma" w:hAnsi="Tahoma" w:cs="Tahoma"/>
          <w:sz w:val="20"/>
        </w:rPr>
        <w:t>i</w:t>
      </w:r>
      <w:r w:rsidRPr="00D31186">
        <w:rPr>
          <w:rFonts w:ascii="Tahoma" w:hAnsi="Tahoma" w:cs="Tahoma"/>
          <w:sz w:val="20"/>
        </w:rPr>
        <w:t>magem</w:t>
      </w:r>
      <w:r w:rsidR="005D3A43">
        <w:rPr>
          <w:rFonts w:ascii="Tahoma" w:hAnsi="Tahoma" w:cs="Tahoma"/>
          <w:sz w:val="20"/>
        </w:rPr>
        <w:t>,</w:t>
      </w:r>
      <w:r w:rsidRPr="00D31186">
        <w:rPr>
          <w:rFonts w:ascii="Tahoma" w:hAnsi="Tahoma" w:cs="Tahoma"/>
          <w:sz w:val="20"/>
        </w:rPr>
        <w:t xml:space="preserve"> </w:t>
      </w:r>
      <w:r w:rsidR="005D3A43">
        <w:rPr>
          <w:rFonts w:ascii="Tahoma" w:hAnsi="Tahoma" w:cs="Tahoma"/>
          <w:sz w:val="20"/>
        </w:rPr>
        <w:t>avaliando</w:t>
      </w:r>
      <w:r w:rsidRPr="00D31186">
        <w:rPr>
          <w:rFonts w:ascii="Tahoma" w:hAnsi="Tahoma" w:cs="Tahoma"/>
          <w:sz w:val="20"/>
        </w:rPr>
        <w:t xml:space="preserve"> o retorno dos ativos </w:t>
      </w:r>
      <w:r w:rsidR="005D3A43">
        <w:rPr>
          <w:rFonts w:ascii="Tahoma" w:hAnsi="Tahoma" w:cs="Tahoma"/>
          <w:sz w:val="20"/>
        </w:rPr>
        <w:t>à</w:t>
      </w:r>
      <w:r w:rsidRPr="00D31186">
        <w:rPr>
          <w:rFonts w:ascii="Tahoma" w:hAnsi="Tahoma" w:cs="Tahoma"/>
          <w:sz w:val="20"/>
        </w:rPr>
        <w:t xml:space="preserve"> meta atuarial. </w:t>
      </w:r>
      <w:r w:rsidR="005D3A43">
        <w:rPr>
          <w:rFonts w:ascii="Tahoma" w:hAnsi="Tahoma" w:cs="Tahoma"/>
          <w:sz w:val="20"/>
        </w:rPr>
        <w:t>Essas</w:t>
      </w:r>
      <w:r w:rsidRPr="00D31186">
        <w:rPr>
          <w:rFonts w:ascii="Tahoma" w:hAnsi="Tahoma" w:cs="Tahoma"/>
          <w:sz w:val="20"/>
        </w:rPr>
        <w:t xml:space="preserve"> modalidades de risco e a forma de acompanhamento </w:t>
      </w:r>
      <w:r w:rsidR="005D3A43">
        <w:rPr>
          <w:rFonts w:ascii="Tahoma" w:hAnsi="Tahoma" w:cs="Tahoma"/>
          <w:sz w:val="20"/>
        </w:rPr>
        <w:t xml:space="preserve">são essenciais para </w:t>
      </w:r>
      <w:r w:rsidRPr="00D31186">
        <w:rPr>
          <w:rFonts w:ascii="Tahoma" w:hAnsi="Tahoma" w:cs="Tahoma"/>
          <w:sz w:val="20"/>
        </w:rPr>
        <w:t>o bom desempenho deste planejamento</w:t>
      </w:r>
      <w:r w:rsidR="00465C63" w:rsidRPr="00D31186">
        <w:rPr>
          <w:rFonts w:ascii="Tahoma" w:hAnsi="Tahoma" w:cs="Tahoma"/>
          <w:sz w:val="20"/>
        </w:rPr>
        <w:t xml:space="preserve">. </w:t>
      </w:r>
    </w:p>
    <w:p w:rsidR="00465C63" w:rsidRPr="00E8601E" w:rsidRDefault="00465C63" w:rsidP="00AD12FB">
      <w:pPr>
        <w:spacing w:after="120"/>
        <w:ind w:firstLine="709"/>
        <w:jc w:val="both"/>
        <w:rPr>
          <w:rFonts w:ascii="Tahoma" w:hAnsi="Tahoma" w:cs="Tahoma"/>
          <w:sz w:val="20"/>
        </w:rPr>
      </w:pPr>
      <w:r w:rsidRPr="00D31186">
        <w:rPr>
          <w:rFonts w:ascii="Tahoma" w:hAnsi="Tahoma" w:cs="Tahoma"/>
          <w:sz w:val="20"/>
        </w:rPr>
        <w:t>É relevante mencionar que</w:t>
      </w:r>
      <w:r w:rsidR="00621CC7" w:rsidRPr="00D31186">
        <w:rPr>
          <w:rFonts w:ascii="Tahoma" w:hAnsi="Tahoma" w:cs="Tahoma"/>
          <w:sz w:val="20"/>
        </w:rPr>
        <w:t>,</w:t>
      </w:r>
      <w:r w:rsidRPr="00D31186">
        <w:rPr>
          <w:rFonts w:ascii="Tahoma" w:hAnsi="Tahoma" w:cs="Tahoma"/>
          <w:sz w:val="20"/>
        </w:rPr>
        <w:t xml:space="preserve"> qualquer aplicação financeira está sujeita à incidência de fatores de risco que podem afetar </w:t>
      </w:r>
      <w:r w:rsidR="005731B7" w:rsidRPr="00D31186">
        <w:rPr>
          <w:rFonts w:ascii="Tahoma" w:hAnsi="Tahoma" w:cs="Tahoma"/>
          <w:sz w:val="20"/>
        </w:rPr>
        <w:t>de forma negativa</w:t>
      </w:r>
      <w:r w:rsidRPr="00D31186">
        <w:rPr>
          <w:rFonts w:ascii="Tahoma" w:hAnsi="Tahoma" w:cs="Tahoma"/>
          <w:sz w:val="20"/>
        </w:rPr>
        <w:t xml:space="preserve"> o seu retorno, entre eles:</w:t>
      </w:r>
    </w:p>
    <w:p w:rsidR="00465C63" w:rsidRPr="00D17F5E" w:rsidRDefault="00465C63" w:rsidP="00AD12FB">
      <w:pPr>
        <w:pStyle w:val="PargrafodaLista"/>
        <w:numPr>
          <w:ilvl w:val="0"/>
          <w:numId w:val="18"/>
        </w:numPr>
        <w:spacing w:after="120"/>
        <w:ind w:left="284" w:firstLine="709"/>
        <w:jc w:val="both"/>
        <w:rPr>
          <w:rFonts w:ascii="Tahoma" w:hAnsi="Tahoma" w:cs="Tahoma"/>
          <w:sz w:val="20"/>
        </w:rPr>
      </w:pPr>
      <w:r w:rsidRPr="00D17F5E">
        <w:rPr>
          <w:rFonts w:ascii="Tahoma" w:hAnsi="Tahoma" w:cs="Tahoma"/>
          <w:sz w:val="20"/>
        </w:rPr>
        <w:t xml:space="preserve">Risco de Mercado – </w:t>
      </w:r>
      <w:r w:rsidRPr="002F0916">
        <w:rPr>
          <w:rFonts w:ascii="Tahoma" w:hAnsi="Tahoma" w:cs="Tahoma"/>
          <w:sz w:val="16"/>
          <w:szCs w:val="18"/>
        </w:rPr>
        <w:t>é o risco inerente a todas as modalidades de aplicações financeiras disponíveis no mercado financeiro; corresponde à incerteza em relação ao resultado de um investimento financeiro ou de uma carteira de investimento, em decorrência de mudanças futuras nas condições de mercado. É o risco de variações, oscilações nas taxas e preços de mercado, tais como taxa de juros, preços de ações e outros índices. É ligado às oscilações do mercado financeiro</w:t>
      </w:r>
      <w:r w:rsidR="00D17F5E" w:rsidRPr="002F0916">
        <w:rPr>
          <w:rFonts w:ascii="Tahoma" w:hAnsi="Tahoma" w:cs="Tahoma"/>
          <w:sz w:val="16"/>
          <w:szCs w:val="18"/>
        </w:rPr>
        <w:t>;</w:t>
      </w:r>
    </w:p>
    <w:p w:rsidR="00465C63" w:rsidRPr="00D17F5E" w:rsidRDefault="00465C63" w:rsidP="00AD12FB">
      <w:pPr>
        <w:pStyle w:val="PargrafodaLista"/>
        <w:numPr>
          <w:ilvl w:val="0"/>
          <w:numId w:val="18"/>
        </w:numPr>
        <w:spacing w:after="120"/>
        <w:ind w:left="284" w:firstLine="709"/>
        <w:jc w:val="both"/>
        <w:rPr>
          <w:rFonts w:ascii="Tahoma" w:hAnsi="Tahoma" w:cs="Tahoma"/>
          <w:sz w:val="20"/>
        </w:rPr>
      </w:pPr>
      <w:r w:rsidRPr="00D17F5E">
        <w:rPr>
          <w:rFonts w:ascii="Tahoma" w:hAnsi="Tahoma" w:cs="Tahoma"/>
          <w:sz w:val="20"/>
        </w:rPr>
        <w:t xml:space="preserve">Risco de Crédito - </w:t>
      </w:r>
      <w:r w:rsidRPr="002F0916">
        <w:rPr>
          <w:rFonts w:ascii="Tahoma" w:hAnsi="Tahoma" w:cs="Tahoma"/>
          <w:sz w:val="16"/>
          <w:szCs w:val="18"/>
        </w:rPr>
        <w:t>também conhecido como risco institucional ou de contraparte, é aquele em que há a possibilidade de o retorno de investimento não ser honrado pela instituição que emitiu determinado título, na data e nas condições negociadas e contratadas</w:t>
      </w:r>
      <w:r w:rsidRPr="00D17F5E">
        <w:rPr>
          <w:rFonts w:ascii="Tahoma" w:hAnsi="Tahoma" w:cs="Tahoma"/>
          <w:sz w:val="18"/>
          <w:szCs w:val="20"/>
        </w:rPr>
        <w:t>;</w:t>
      </w:r>
    </w:p>
    <w:p w:rsidR="00465C63" w:rsidRPr="00D31186" w:rsidRDefault="00465C63" w:rsidP="00AD12FB">
      <w:pPr>
        <w:pStyle w:val="PargrafodaLista"/>
        <w:numPr>
          <w:ilvl w:val="0"/>
          <w:numId w:val="18"/>
        </w:numPr>
        <w:spacing w:after="120"/>
        <w:ind w:left="284" w:firstLine="709"/>
        <w:jc w:val="both"/>
        <w:rPr>
          <w:rFonts w:ascii="Tahoma" w:hAnsi="Tahoma" w:cs="Tahoma"/>
          <w:sz w:val="20"/>
        </w:rPr>
      </w:pPr>
      <w:r w:rsidRPr="00D31186">
        <w:rPr>
          <w:rFonts w:ascii="Tahoma" w:hAnsi="Tahoma" w:cs="Tahoma"/>
          <w:sz w:val="20"/>
        </w:rPr>
        <w:t xml:space="preserve">Risco de Liquidez - </w:t>
      </w:r>
      <w:r w:rsidRPr="00D31186">
        <w:rPr>
          <w:rFonts w:ascii="Tahoma" w:hAnsi="Tahoma" w:cs="Tahoma"/>
          <w:sz w:val="16"/>
          <w:szCs w:val="18"/>
        </w:rPr>
        <w:t>surge da dificuldade em se conseguir encontrar compradores potenciais de um determinado ativo no momento e no preço desejado. Ocorre quando um ativo está com baixo volume de negócios e apresenta grandes diferenças entre o preço que o comprador está disposto a pagar (oferta de compra) e aquele que o vendedor gostaria de vender (oferta de venda). Quando é necessário vender algum ativo num mercado ilíquido, tende a ser difícil conseguir realizar a venda sem sacrificar o preço do ativo negociado</w:t>
      </w:r>
      <w:r w:rsidR="00D17F5E" w:rsidRPr="00D31186">
        <w:rPr>
          <w:rFonts w:ascii="Tahoma" w:hAnsi="Tahoma" w:cs="Tahoma"/>
          <w:sz w:val="18"/>
          <w:szCs w:val="20"/>
        </w:rPr>
        <w:t>;</w:t>
      </w:r>
    </w:p>
    <w:p w:rsidR="000973AA" w:rsidRPr="00D31186" w:rsidRDefault="000973AA" w:rsidP="00AD12FB">
      <w:pPr>
        <w:pStyle w:val="PargrafodaLista"/>
        <w:numPr>
          <w:ilvl w:val="0"/>
          <w:numId w:val="18"/>
        </w:numPr>
        <w:spacing w:after="120"/>
        <w:ind w:left="284" w:firstLine="709"/>
        <w:jc w:val="both"/>
        <w:rPr>
          <w:rFonts w:ascii="Tahoma" w:hAnsi="Tahoma" w:cs="Tahoma"/>
          <w:sz w:val="20"/>
        </w:rPr>
      </w:pPr>
      <w:r w:rsidRPr="00D31186">
        <w:rPr>
          <w:rFonts w:ascii="Tahoma" w:hAnsi="Tahoma" w:cs="Tahoma"/>
          <w:sz w:val="20"/>
        </w:rPr>
        <w:t xml:space="preserve">Risco de Descasamento - </w:t>
      </w:r>
      <w:r w:rsidRPr="00D31186">
        <w:rPr>
          <w:rFonts w:ascii="Tahoma" w:hAnsi="Tahoma" w:cs="Tahoma"/>
          <w:sz w:val="16"/>
          <w:szCs w:val="18"/>
        </w:rPr>
        <w:t xml:space="preserve">Para que os retornos esperados se concretizem é necessário o acompanhamento do desempenho dos fundos selecionados. Esse acompanhamento é feito através da medição dos resultados, utilizando vários indicadores de risco que determinam o grau de divergência entre o retorno dos investimentos do </w:t>
      </w:r>
      <w:r w:rsidR="008F04AC" w:rsidRPr="00D31186">
        <w:rPr>
          <w:rFonts w:ascii="Tahoma" w:hAnsi="Tahoma" w:cs="Tahoma"/>
          <w:b/>
          <w:bCs/>
          <w:sz w:val="16"/>
          <w:szCs w:val="18"/>
        </w:rPr>
        <w:fldChar w:fldCharType="begin"/>
      </w:r>
      <w:r w:rsidR="00406B8E" w:rsidRPr="00D31186">
        <w:rPr>
          <w:rFonts w:ascii="Tahoma" w:hAnsi="Tahoma" w:cs="Tahoma"/>
          <w:b/>
          <w:bCs/>
          <w:sz w:val="16"/>
          <w:szCs w:val="18"/>
        </w:rPr>
        <w:instrText xml:space="preserve"> MERGEFIELD TP </w:instrText>
      </w:r>
      <w:r w:rsidR="008F04AC" w:rsidRPr="00D31186">
        <w:rPr>
          <w:rFonts w:ascii="Tahoma" w:hAnsi="Tahoma" w:cs="Tahoma"/>
          <w:b/>
          <w:bCs/>
          <w:sz w:val="16"/>
          <w:szCs w:val="18"/>
        </w:rPr>
        <w:fldChar w:fldCharType="separate"/>
      </w:r>
      <w:r w:rsidR="004A232E" w:rsidRPr="00BC514D">
        <w:rPr>
          <w:rFonts w:ascii="Tahoma" w:hAnsi="Tahoma" w:cs="Tahoma"/>
          <w:b/>
          <w:bCs/>
          <w:noProof/>
          <w:sz w:val="16"/>
          <w:szCs w:val="18"/>
        </w:rPr>
        <w:t>RPPS</w:t>
      </w:r>
      <w:r w:rsidR="008F04AC" w:rsidRPr="00D31186">
        <w:rPr>
          <w:rFonts w:ascii="Tahoma" w:hAnsi="Tahoma" w:cs="Tahoma"/>
          <w:b/>
          <w:bCs/>
          <w:sz w:val="16"/>
          <w:szCs w:val="18"/>
        </w:rPr>
        <w:fldChar w:fldCharType="end"/>
      </w:r>
      <w:r w:rsidRPr="00D31186">
        <w:rPr>
          <w:rFonts w:ascii="Tahoma" w:hAnsi="Tahoma" w:cs="Tahoma"/>
          <w:sz w:val="16"/>
          <w:szCs w:val="18"/>
        </w:rPr>
        <w:t xml:space="preserve"> e a variação da meta atuarial. Os desvios detectados deverão ser informados, a fim de serem avaliad</w:t>
      </w:r>
      <w:r w:rsidR="00621CC7" w:rsidRPr="00D31186">
        <w:rPr>
          <w:rFonts w:ascii="Tahoma" w:hAnsi="Tahoma" w:cs="Tahoma"/>
          <w:sz w:val="16"/>
          <w:szCs w:val="18"/>
        </w:rPr>
        <w:t>o</w:t>
      </w:r>
      <w:r w:rsidRPr="00D31186">
        <w:rPr>
          <w:rFonts w:ascii="Tahoma" w:hAnsi="Tahoma" w:cs="Tahoma"/>
          <w:sz w:val="16"/>
          <w:szCs w:val="18"/>
        </w:rPr>
        <w:t>s e corrigid</w:t>
      </w:r>
      <w:r w:rsidR="00621CC7" w:rsidRPr="00D31186">
        <w:rPr>
          <w:rFonts w:ascii="Tahoma" w:hAnsi="Tahoma" w:cs="Tahoma"/>
          <w:sz w:val="16"/>
          <w:szCs w:val="18"/>
        </w:rPr>
        <w:t>o</w:t>
      </w:r>
      <w:r w:rsidRPr="00D31186">
        <w:rPr>
          <w:rFonts w:ascii="Tahoma" w:hAnsi="Tahoma" w:cs="Tahoma"/>
          <w:sz w:val="16"/>
          <w:szCs w:val="18"/>
        </w:rPr>
        <w:t>s pel</w:t>
      </w:r>
      <w:r w:rsidR="00406B8E" w:rsidRPr="00D31186">
        <w:rPr>
          <w:rFonts w:ascii="Tahoma" w:hAnsi="Tahoma" w:cs="Tahoma"/>
          <w:sz w:val="16"/>
          <w:szCs w:val="18"/>
        </w:rPr>
        <w:t>os gestores</w:t>
      </w:r>
      <w:r w:rsidR="00D17F5E" w:rsidRPr="00D31186">
        <w:rPr>
          <w:rFonts w:ascii="Tahoma" w:hAnsi="Tahoma" w:cs="Tahoma"/>
          <w:sz w:val="18"/>
          <w:szCs w:val="20"/>
        </w:rPr>
        <w:t>;</w:t>
      </w:r>
    </w:p>
    <w:p w:rsidR="000973AA" w:rsidRPr="00347939" w:rsidRDefault="000973AA" w:rsidP="00AD12FB">
      <w:pPr>
        <w:pStyle w:val="PargrafodaLista"/>
        <w:numPr>
          <w:ilvl w:val="0"/>
          <w:numId w:val="18"/>
        </w:numPr>
        <w:spacing w:after="120"/>
        <w:ind w:left="284" w:firstLine="709"/>
        <w:jc w:val="both"/>
        <w:rPr>
          <w:rFonts w:ascii="Tahoma" w:hAnsi="Tahoma" w:cs="Tahoma"/>
          <w:sz w:val="20"/>
        </w:rPr>
      </w:pPr>
      <w:r w:rsidRPr="00D17F5E">
        <w:rPr>
          <w:rFonts w:ascii="Tahoma" w:hAnsi="Tahoma" w:cs="Tahoma"/>
          <w:sz w:val="20"/>
        </w:rPr>
        <w:t xml:space="preserve">Risco de </w:t>
      </w:r>
      <w:r w:rsidR="00406B8E" w:rsidRPr="00D17F5E">
        <w:rPr>
          <w:rFonts w:ascii="Tahoma" w:hAnsi="Tahoma" w:cs="Tahoma"/>
          <w:sz w:val="20"/>
        </w:rPr>
        <w:t>Imagem</w:t>
      </w:r>
      <w:r w:rsidR="00D17F5E">
        <w:rPr>
          <w:rFonts w:ascii="Tahoma" w:hAnsi="Tahoma" w:cs="Tahoma"/>
          <w:sz w:val="20"/>
        </w:rPr>
        <w:t xml:space="preserve"> e Reputação</w:t>
      </w:r>
      <w:r w:rsidRPr="00D17F5E">
        <w:rPr>
          <w:rFonts w:ascii="Tahoma" w:hAnsi="Tahoma" w:cs="Tahoma"/>
          <w:sz w:val="20"/>
        </w:rPr>
        <w:t xml:space="preserve"> </w:t>
      </w:r>
      <w:r w:rsidR="00D17F5E">
        <w:rPr>
          <w:rFonts w:ascii="Tahoma" w:hAnsi="Tahoma" w:cs="Tahoma"/>
          <w:sz w:val="20"/>
        </w:rPr>
        <w:t>–</w:t>
      </w:r>
      <w:r w:rsidRPr="00D17F5E">
        <w:rPr>
          <w:rFonts w:ascii="Tahoma" w:hAnsi="Tahoma" w:cs="Tahoma"/>
          <w:sz w:val="20"/>
        </w:rPr>
        <w:t xml:space="preserve"> </w:t>
      </w:r>
      <w:r w:rsidR="00D17F5E" w:rsidRPr="002F0916">
        <w:rPr>
          <w:rFonts w:ascii="Tahoma" w:hAnsi="Tahoma" w:cs="Tahoma"/>
          <w:sz w:val="16"/>
          <w:szCs w:val="18"/>
        </w:rPr>
        <w:t>Pode ser representado por todos os eventos internos e externos com capacidade de danificar a percepção do RPPS perante colaboradores, servidores e o mercado como um todo. Assim o</w:t>
      </w:r>
      <w:r w:rsidR="00406B8E" w:rsidRPr="002F0916">
        <w:rPr>
          <w:rFonts w:ascii="Tahoma" w:hAnsi="Tahoma" w:cs="Tahoma"/>
          <w:sz w:val="16"/>
          <w:szCs w:val="18"/>
        </w:rPr>
        <w:t xml:space="preserve"> </w:t>
      </w:r>
      <w:r w:rsidR="008F04AC" w:rsidRPr="002F0916">
        <w:rPr>
          <w:rFonts w:ascii="Tahoma" w:hAnsi="Tahoma" w:cs="Tahoma"/>
          <w:b/>
          <w:bCs/>
          <w:sz w:val="16"/>
          <w:szCs w:val="18"/>
        </w:rPr>
        <w:fldChar w:fldCharType="begin"/>
      </w:r>
      <w:r w:rsidR="00406B8E" w:rsidRPr="002F0916">
        <w:rPr>
          <w:rFonts w:ascii="Tahoma" w:hAnsi="Tahoma" w:cs="Tahoma"/>
          <w:b/>
          <w:bCs/>
          <w:sz w:val="16"/>
          <w:szCs w:val="18"/>
        </w:rPr>
        <w:instrText xml:space="preserve"> MERGEFIELD CONSELHO </w:instrText>
      </w:r>
      <w:r w:rsidR="008F04AC" w:rsidRPr="002F0916">
        <w:rPr>
          <w:rFonts w:ascii="Tahoma" w:hAnsi="Tahoma" w:cs="Tahoma"/>
          <w:b/>
          <w:bCs/>
          <w:sz w:val="16"/>
          <w:szCs w:val="18"/>
        </w:rPr>
        <w:fldChar w:fldCharType="separate"/>
      </w:r>
      <w:r w:rsidR="004A232E" w:rsidRPr="00BC514D">
        <w:rPr>
          <w:rFonts w:ascii="Tahoma" w:hAnsi="Tahoma" w:cs="Tahoma"/>
          <w:b/>
          <w:bCs/>
          <w:noProof/>
          <w:sz w:val="16"/>
          <w:szCs w:val="18"/>
        </w:rPr>
        <w:t>CONSELHO DO REGIME PRÓPRIO DE PREVIDÊNCIA DE ENTRE-IJUÍS</w:t>
      </w:r>
      <w:r w:rsidR="008F04AC" w:rsidRPr="002F0916">
        <w:rPr>
          <w:rFonts w:ascii="Tahoma" w:hAnsi="Tahoma" w:cs="Tahoma"/>
          <w:b/>
          <w:bCs/>
          <w:sz w:val="16"/>
          <w:szCs w:val="18"/>
        </w:rPr>
        <w:fldChar w:fldCharType="end"/>
      </w:r>
      <w:r w:rsidR="00406B8E" w:rsidRPr="002F0916">
        <w:rPr>
          <w:rFonts w:ascii="Tahoma" w:hAnsi="Tahoma" w:cs="Tahoma"/>
          <w:sz w:val="16"/>
          <w:szCs w:val="18"/>
        </w:rPr>
        <w:t xml:space="preserve"> e o </w:t>
      </w:r>
      <w:r w:rsidR="008F04AC" w:rsidRPr="002F0916">
        <w:rPr>
          <w:rFonts w:ascii="Tahoma" w:hAnsi="Tahoma" w:cs="Tahoma"/>
          <w:b/>
          <w:bCs/>
          <w:sz w:val="16"/>
          <w:szCs w:val="18"/>
        </w:rPr>
        <w:fldChar w:fldCharType="begin"/>
      </w:r>
      <w:r w:rsidR="00406B8E" w:rsidRPr="002F0916">
        <w:rPr>
          <w:rFonts w:ascii="Tahoma" w:hAnsi="Tahoma" w:cs="Tahoma"/>
          <w:b/>
          <w:bCs/>
          <w:sz w:val="16"/>
          <w:szCs w:val="18"/>
        </w:rPr>
        <w:instrText xml:space="preserve"> MERGEFIELD COMITÊ </w:instrText>
      </w:r>
      <w:r w:rsidR="008F04AC" w:rsidRPr="002F0916">
        <w:rPr>
          <w:rFonts w:ascii="Tahoma" w:hAnsi="Tahoma" w:cs="Tahoma"/>
          <w:b/>
          <w:bCs/>
          <w:sz w:val="16"/>
          <w:szCs w:val="18"/>
        </w:rPr>
        <w:fldChar w:fldCharType="separate"/>
      </w:r>
      <w:r w:rsidR="004A232E" w:rsidRPr="00BC514D">
        <w:rPr>
          <w:rFonts w:ascii="Tahoma" w:hAnsi="Tahoma" w:cs="Tahoma"/>
          <w:b/>
          <w:bCs/>
          <w:noProof/>
          <w:sz w:val="16"/>
          <w:szCs w:val="18"/>
        </w:rPr>
        <w:t>COMITÊ DE INVESTIMENTOS</w:t>
      </w:r>
      <w:r w:rsidR="008F04AC" w:rsidRPr="002F0916">
        <w:rPr>
          <w:rFonts w:ascii="Tahoma" w:hAnsi="Tahoma" w:cs="Tahoma"/>
          <w:b/>
          <w:bCs/>
          <w:sz w:val="16"/>
          <w:szCs w:val="18"/>
        </w:rPr>
        <w:fldChar w:fldCharType="end"/>
      </w:r>
      <w:r w:rsidR="00406B8E" w:rsidRPr="002F0916">
        <w:rPr>
          <w:rFonts w:ascii="Tahoma" w:hAnsi="Tahoma" w:cs="Tahoma"/>
          <w:sz w:val="16"/>
          <w:szCs w:val="18"/>
        </w:rPr>
        <w:t xml:space="preserve"> do </w:t>
      </w:r>
      <w:r w:rsidR="008F04AC" w:rsidRPr="002F0916">
        <w:rPr>
          <w:rFonts w:ascii="Tahoma" w:hAnsi="Tahoma" w:cs="Tahoma"/>
          <w:b/>
          <w:bCs/>
          <w:sz w:val="16"/>
          <w:szCs w:val="18"/>
        </w:rPr>
        <w:fldChar w:fldCharType="begin"/>
      </w:r>
      <w:r w:rsidR="00406B8E" w:rsidRPr="002F0916">
        <w:rPr>
          <w:rFonts w:ascii="Tahoma" w:hAnsi="Tahoma" w:cs="Tahoma"/>
          <w:b/>
          <w:bCs/>
          <w:sz w:val="16"/>
          <w:szCs w:val="18"/>
        </w:rPr>
        <w:instrText xml:space="preserve"> MERGEFIELD TP </w:instrText>
      </w:r>
      <w:r w:rsidR="008F04AC" w:rsidRPr="002F0916">
        <w:rPr>
          <w:rFonts w:ascii="Tahoma" w:hAnsi="Tahoma" w:cs="Tahoma"/>
          <w:b/>
          <w:bCs/>
          <w:sz w:val="16"/>
          <w:szCs w:val="18"/>
        </w:rPr>
        <w:fldChar w:fldCharType="separate"/>
      </w:r>
      <w:r w:rsidR="004A232E" w:rsidRPr="00BC514D">
        <w:rPr>
          <w:rFonts w:ascii="Tahoma" w:hAnsi="Tahoma" w:cs="Tahoma"/>
          <w:b/>
          <w:bCs/>
          <w:noProof/>
          <w:sz w:val="16"/>
          <w:szCs w:val="18"/>
        </w:rPr>
        <w:t>RPPS</w:t>
      </w:r>
      <w:r w:rsidR="008F04AC" w:rsidRPr="002F0916">
        <w:rPr>
          <w:rFonts w:ascii="Tahoma" w:hAnsi="Tahoma" w:cs="Tahoma"/>
          <w:b/>
          <w:bCs/>
          <w:sz w:val="16"/>
          <w:szCs w:val="18"/>
        </w:rPr>
        <w:fldChar w:fldCharType="end"/>
      </w:r>
      <w:r w:rsidR="00406B8E" w:rsidRPr="002F0916">
        <w:rPr>
          <w:rFonts w:ascii="Tahoma" w:hAnsi="Tahoma" w:cs="Tahoma"/>
          <w:sz w:val="16"/>
          <w:szCs w:val="18"/>
        </w:rPr>
        <w:t xml:space="preserve"> observarão, durante o credenciamento das gestoras, administradoras, distribuidoras e instituição financeiras e durante todo o período subsequente, se estas oferecem risco de imagem ao </w:t>
      </w:r>
      <w:r w:rsidR="008F04AC" w:rsidRPr="002F0916">
        <w:rPr>
          <w:rFonts w:ascii="Tahoma" w:hAnsi="Tahoma" w:cs="Tahoma"/>
          <w:b/>
          <w:bCs/>
          <w:sz w:val="16"/>
          <w:szCs w:val="18"/>
        </w:rPr>
        <w:fldChar w:fldCharType="begin"/>
      </w:r>
      <w:r w:rsidR="00406B8E" w:rsidRPr="002F0916">
        <w:rPr>
          <w:rFonts w:ascii="Tahoma" w:hAnsi="Tahoma" w:cs="Tahoma"/>
          <w:b/>
          <w:bCs/>
          <w:sz w:val="16"/>
          <w:szCs w:val="18"/>
        </w:rPr>
        <w:instrText xml:space="preserve"> MERGEFIELD TP </w:instrText>
      </w:r>
      <w:r w:rsidR="008F04AC" w:rsidRPr="002F0916">
        <w:rPr>
          <w:rFonts w:ascii="Tahoma" w:hAnsi="Tahoma" w:cs="Tahoma"/>
          <w:b/>
          <w:bCs/>
          <w:sz w:val="16"/>
          <w:szCs w:val="18"/>
        </w:rPr>
        <w:fldChar w:fldCharType="separate"/>
      </w:r>
      <w:r w:rsidR="004A232E" w:rsidRPr="00BC514D">
        <w:rPr>
          <w:rFonts w:ascii="Tahoma" w:hAnsi="Tahoma" w:cs="Tahoma"/>
          <w:b/>
          <w:bCs/>
          <w:noProof/>
          <w:sz w:val="16"/>
          <w:szCs w:val="18"/>
        </w:rPr>
        <w:t>RPPS</w:t>
      </w:r>
      <w:r w:rsidR="008F04AC" w:rsidRPr="002F0916">
        <w:rPr>
          <w:rFonts w:ascii="Tahoma" w:hAnsi="Tahoma" w:cs="Tahoma"/>
          <w:b/>
          <w:bCs/>
          <w:sz w:val="16"/>
          <w:szCs w:val="18"/>
        </w:rPr>
        <w:fldChar w:fldCharType="end"/>
      </w:r>
      <w:r w:rsidR="00406B8E" w:rsidRPr="002F0916">
        <w:rPr>
          <w:rFonts w:ascii="Tahoma" w:hAnsi="Tahoma" w:cs="Tahoma"/>
          <w:sz w:val="16"/>
          <w:szCs w:val="18"/>
        </w:rPr>
        <w:t>. As mesmas não poderão apresentar nenhum fato que as desabone</w:t>
      </w:r>
      <w:r w:rsidR="00406B8E" w:rsidRPr="00D17F5E">
        <w:rPr>
          <w:rFonts w:ascii="Tahoma" w:hAnsi="Tahoma" w:cs="Tahoma"/>
          <w:sz w:val="18"/>
          <w:szCs w:val="20"/>
        </w:rPr>
        <w:t>.</w:t>
      </w:r>
      <w:r w:rsidR="00406B8E" w:rsidRPr="00D17F5E">
        <w:rPr>
          <w:rFonts w:ascii="Tahoma" w:hAnsi="Tahoma" w:cs="Tahoma"/>
          <w:sz w:val="18"/>
          <w:szCs w:val="20"/>
        </w:rPr>
        <w:cr/>
      </w:r>
    </w:p>
    <w:p w:rsidR="00347939" w:rsidRPr="00E8601E" w:rsidRDefault="00347939" w:rsidP="00EC5FD6">
      <w:pPr>
        <w:pStyle w:val="Ttulo2"/>
        <w:spacing w:after="120"/>
        <w:rPr>
          <w:rFonts w:ascii="Tahoma" w:eastAsiaTheme="minorEastAsia" w:hAnsi="Tahoma" w:cs="Tahoma"/>
          <w:b/>
          <w:color w:val="auto"/>
          <w:sz w:val="20"/>
          <w:szCs w:val="22"/>
        </w:rPr>
      </w:pPr>
      <w:bookmarkStart w:id="29" w:name="_Toc181778173"/>
      <w:r w:rsidRPr="00BE6FCD">
        <w:rPr>
          <w:rFonts w:ascii="Tahoma" w:eastAsiaTheme="minorEastAsia" w:hAnsi="Tahoma" w:cs="Tahoma"/>
          <w:b/>
          <w:color w:val="auto"/>
          <w:sz w:val="20"/>
          <w:szCs w:val="22"/>
        </w:rPr>
        <w:t xml:space="preserve">Perfil de </w:t>
      </w:r>
      <w:r w:rsidR="00621CC7" w:rsidRPr="00BE6FCD">
        <w:rPr>
          <w:rFonts w:ascii="Tahoma" w:eastAsiaTheme="minorEastAsia" w:hAnsi="Tahoma" w:cs="Tahoma"/>
          <w:b/>
          <w:color w:val="auto"/>
          <w:sz w:val="20"/>
          <w:szCs w:val="22"/>
        </w:rPr>
        <w:t>I</w:t>
      </w:r>
      <w:r w:rsidR="00AC2050" w:rsidRPr="00BE6FCD">
        <w:rPr>
          <w:rFonts w:ascii="Tahoma" w:eastAsiaTheme="minorEastAsia" w:hAnsi="Tahoma" w:cs="Tahoma"/>
          <w:b/>
          <w:color w:val="auto"/>
          <w:sz w:val="20"/>
          <w:szCs w:val="22"/>
        </w:rPr>
        <w:t>nvestidor</w:t>
      </w:r>
      <w:r w:rsidRPr="00BE6FCD">
        <w:rPr>
          <w:rFonts w:ascii="Tahoma" w:eastAsiaTheme="minorEastAsia" w:hAnsi="Tahoma" w:cs="Tahoma"/>
          <w:b/>
          <w:color w:val="auto"/>
          <w:sz w:val="20"/>
          <w:szCs w:val="22"/>
        </w:rPr>
        <w:t xml:space="preserve"> do RPPS</w:t>
      </w:r>
      <w:bookmarkEnd w:id="29"/>
    </w:p>
    <w:p w:rsidR="00347939" w:rsidRDefault="00347939" w:rsidP="00AD12FB">
      <w:pPr>
        <w:spacing w:after="120"/>
        <w:ind w:firstLine="709"/>
        <w:jc w:val="both"/>
        <w:rPr>
          <w:rFonts w:ascii="Tahoma" w:hAnsi="Tahoma" w:cs="Tahoma"/>
          <w:sz w:val="20"/>
        </w:rPr>
      </w:pPr>
    </w:p>
    <w:p w:rsidR="00347939" w:rsidRDefault="00347939" w:rsidP="00AD12FB">
      <w:pPr>
        <w:spacing w:after="120"/>
        <w:ind w:firstLine="709"/>
        <w:jc w:val="both"/>
        <w:rPr>
          <w:rFonts w:ascii="Tahoma" w:hAnsi="Tahoma" w:cs="Tahoma"/>
          <w:sz w:val="20"/>
        </w:rPr>
      </w:pPr>
      <w:r w:rsidRPr="00347939">
        <w:rPr>
          <w:rFonts w:ascii="Tahoma" w:hAnsi="Tahoma" w:cs="Tahoma"/>
          <w:sz w:val="20"/>
        </w:rPr>
        <w:t xml:space="preserve">O perfil do investidor pode ser definido como uma categorização que cada </w:t>
      </w:r>
      <w:r>
        <w:rPr>
          <w:rFonts w:ascii="Tahoma" w:hAnsi="Tahoma" w:cs="Tahoma"/>
          <w:sz w:val="20"/>
        </w:rPr>
        <w:t>RPPS</w:t>
      </w:r>
      <w:r w:rsidRPr="00347939">
        <w:rPr>
          <w:rFonts w:ascii="Tahoma" w:hAnsi="Tahoma" w:cs="Tahoma"/>
          <w:sz w:val="20"/>
        </w:rPr>
        <w:t xml:space="preserve"> recebe ao aplicar seu</w:t>
      </w:r>
      <w:r>
        <w:rPr>
          <w:rFonts w:ascii="Tahoma" w:hAnsi="Tahoma" w:cs="Tahoma"/>
          <w:sz w:val="20"/>
        </w:rPr>
        <w:t xml:space="preserve">s recursos </w:t>
      </w:r>
      <w:r w:rsidRPr="00347939">
        <w:rPr>
          <w:rFonts w:ascii="Tahoma" w:hAnsi="Tahoma" w:cs="Tahoma"/>
          <w:sz w:val="20"/>
        </w:rPr>
        <w:t>de acordo com o risco que el</w:t>
      </w:r>
      <w:r w:rsidR="00EC09AA">
        <w:rPr>
          <w:rFonts w:ascii="Tahoma" w:hAnsi="Tahoma" w:cs="Tahoma"/>
          <w:sz w:val="20"/>
        </w:rPr>
        <w:t>e</w:t>
      </w:r>
      <w:r w:rsidRPr="00347939">
        <w:rPr>
          <w:rFonts w:ascii="Tahoma" w:hAnsi="Tahoma" w:cs="Tahoma"/>
          <w:sz w:val="20"/>
        </w:rPr>
        <w:t xml:space="preserve"> está dispost</w:t>
      </w:r>
      <w:r>
        <w:rPr>
          <w:rFonts w:ascii="Tahoma" w:hAnsi="Tahoma" w:cs="Tahoma"/>
          <w:sz w:val="20"/>
        </w:rPr>
        <w:t>o</w:t>
      </w:r>
      <w:r w:rsidRPr="00347939">
        <w:rPr>
          <w:rFonts w:ascii="Tahoma" w:hAnsi="Tahoma" w:cs="Tahoma"/>
          <w:sz w:val="20"/>
        </w:rPr>
        <w:t xml:space="preserve"> a tomar com suas aplicações</w:t>
      </w:r>
      <w:r>
        <w:rPr>
          <w:rFonts w:ascii="Tahoma" w:hAnsi="Tahoma" w:cs="Tahoma"/>
          <w:sz w:val="20"/>
        </w:rPr>
        <w:t>. E</w:t>
      </w:r>
      <w:r w:rsidRPr="00347939">
        <w:rPr>
          <w:rFonts w:ascii="Tahoma" w:hAnsi="Tahoma" w:cs="Tahoma"/>
          <w:sz w:val="20"/>
        </w:rPr>
        <w:t xml:space="preserve">ssa categorização é uma exigência da CVM (Comissão de Valores Mobiliários) para que as instituições financeiras ofereçam ao </w:t>
      </w:r>
      <w:r>
        <w:rPr>
          <w:rFonts w:ascii="Tahoma" w:hAnsi="Tahoma" w:cs="Tahoma"/>
          <w:sz w:val="20"/>
        </w:rPr>
        <w:t>RPPS</w:t>
      </w:r>
      <w:r w:rsidRPr="00347939">
        <w:rPr>
          <w:rFonts w:ascii="Tahoma" w:hAnsi="Tahoma" w:cs="Tahoma"/>
          <w:sz w:val="20"/>
        </w:rPr>
        <w:t xml:space="preserve"> os investimentos que melhor se encaixem ao seu perfi</w:t>
      </w:r>
      <w:r>
        <w:rPr>
          <w:rFonts w:ascii="Tahoma" w:hAnsi="Tahoma" w:cs="Tahoma"/>
          <w:sz w:val="20"/>
        </w:rPr>
        <w:t>l</w:t>
      </w:r>
      <w:r w:rsidRPr="00347939">
        <w:rPr>
          <w:rFonts w:ascii="Tahoma" w:hAnsi="Tahoma" w:cs="Tahoma"/>
          <w:sz w:val="20"/>
        </w:rPr>
        <w:t>.</w:t>
      </w:r>
    </w:p>
    <w:p w:rsidR="00347939" w:rsidRDefault="00347939" w:rsidP="00AD12FB">
      <w:pPr>
        <w:spacing w:after="120"/>
        <w:ind w:firstLine="709"/>
        <w:jc w:val="both"/>
        <w:rPr>
          <w:rFonts w:ascii="Tahoma" w:hAnsi="Tahoma" w:cs="Tahoma"/>
          <w:sz w:val="20"/>
        </w:rPr>
      </w:pPr>
      <w:r>
        <w:rPr>
          <w:rFonts w:ascii="Tahoma" w:hAnsi="Tahoma" w:cs="Tahoma"/>
          <w:sz w:val="20"/>
        </w:rPr>
        <w:t>O</w:t>
      </w:r>
      <w:r w:rsidRPr="00347939">
        <w:rPr>
          <w:rFonts w:ascii="Tahoma" w:hAnsi="Tahoma" w:cs="Tahoma"/>
          <w:sz w:val="20"/>
        </w:rPr>
        <w:t>s perfis de risco do investidor são separados em três categorias, listadas abaixo.</w:t>
      </w:r>
    </w:p>
    <w:p w:rsidR="00347939" w:rsidRPr="00347939" w:rsidRDefault="00347939" w:rsidP="00AD12FB">
      <w:pPr>
        <w:pStyle w:val="PargrafodaLista"/>
        <w:numPr>
          <w:ilvl w:val="0"/>
          <w:numId w:val="19"/>
        </w:numPr>
        <w:spacing w:after="120"/>
        <w:ind w:left="284" w:firstLine="709"/>
        <w:jc w:val="both"/>
        <w:rPr>
          <w:rFonts w:ascii="Tahoma" w:hAnsi="Tahoma" w:cs="Tahoma"/>
          <w:sz w:val="20"/>
        </w:rPr>
      </w:pPr>
      <w:r w:rsidRPr="00347939">
        <w:rPr>
          <w:rFonts w:ascii="Tahoma" w:hAnsi="Tahoma" w:cs="Tahoma"/>
          <w:sz w:val="20"/>
        </w:rPr>
        <w:t xml:space="preserve">PERFIL CONSERVADOR - </w:t>
      </w:r>
      <w:r w:rsidRPr="002F0916">
        <w:rPr>
          <w:rFonts w:ascii="Tahoma" w:hAnsi="Tahoma" w:cs="Tahoma"/>
          <w:sz w:val="16"/>
          <w:szCs w:val="18"/>
        </w:rPr>
        <w:t>A busca por ativos com menor risco</w:t>
      </w:r>
      <w:r w:rsidR="005D3A43">
        <w:rPr>
          <w:rFonts w:ascii="Tahoma" w:hAnsi="Tahoma" w:cs="Tahoma"/>
          <w:sz w:val="16"/>
          <w:szCs w:val="18"/>
        </w:rPr>
        <w:t xml:space="preserve"> se</w:t>
      </w:r>
      <w:r w:rsidRPr="002F0916">
        <w:rPr>
          <w:rFonts w:ascii="Tahoma" w:hAnsi="Tahoma" w:cs="Tahoma"/>
          <w:sz w:val="16"/>
          <w:szCs w:val="18"/>
        </w:rPr>
        <w:t xml:space="preserve"> sobressai a  busca por retornos, sendo primordial a preservação de capital;</w:t>
      </w:r>
    </w:p>
    <w:p w:rsidR="00347939" w:rsidRPr="00347939" w:rsidRDefault="00347939" w:rsidP="00AD12FB">
      <w:pPr>
        <w:pStyle w:val="PargrafodaLista"/>
        <w:numPr>
          <w:ilvl w:val="0"/>
          <w:numId w:val="19"/>
        </w:numPr>
        <w:spacing w:after="120"/>
        <w:ind w:left="284" w:firstLine="709"/>
        <w:jc w:val="both"/>
        <w:rPr>
          <w:rFonts w:ascii="Tahoma" w:hAnsi="Tahoma" w:cs="Tahoma"/>
          <w:sz w:val="18"/>
          <w:szCs w:val="20"/>
        </w:rPr>
      </w:pPr>
      <w:r w:rsidRPr="00347939">
        <w:rPr>
          <w:rFonts w:ascii="Tahoma" w:hAnsi="Tahoma" w:cs="Tahoma"/>
          <w:sz w:val="20"/>
        </w:rPr>
        <w:lastRenderedPageBreak/>
        <w:t xml:space="preserve">PERFIL MODERADO - </w:t>
      </w:r>
      <w:r w:rsidRPr="002F0916">
        <w:rPr>
          <w:rFonts w:ascii="Tahoma" w:hAnsi="Tahoma" w:cs="Tahoma"/>
          <w:sz w:val="16"/>
          <w:szCs w:val="18"/>
        </w:rPr>
        <w:t>Assume riscos um pouco maiores em busca de rentabilidade superior à média do mercado. Dá importância à segurança. Por isso, busca investir de forma equilibrada em diversas classes de ativos, como renda fixa, ações e fundos multimercados;</w:t>
      </w:r>
    </w:p>
    <w:p w:rsidR="00347939" w:rsidRPr="00BE6FCD" w:rsidRDefault="00347939" w:rsidP="00AD12FB">
      <w:pPr>
        <w:pStyle w:val="PargrafodaLista"/>
        <w:numPr>
          <w:ilvl w:val="0"/>
          <w:numId w:val="19"/>
        </w:numPr>
        <w:spacing w:after="120"/>
        <w:ind w:left="284" w:firstLine="709"/>
        <w:jc w:val="both"/>
        <w:rPr>
          <w:rFonts w:ascii="Tahoma" w:hAnsi="Tahoma" w:cs="Tahoma"/>
          <w:sz w:val="18"/>
          <w:szCs w:val="20"/>
        </w:rPr>
      </w:pPr>
      <w:r w:rsidRPr="00BE6FCD">
        <w:rPr>
          <w:rFonts w:ascii="Tahoma" w:hAnsi="Tahoma" w:cs="Tahoma"/>
          <w:sz w:val="20"/>
        </w:rPr>
        <w:t xml:space="preserve">PERFIL ARROJADO - </w:t>
      </w:r>
      <w:r w:rsidRPr="00BE6FCD">
        <w:rPr>
          <w:rFonts w:ascii="Tahoma" w:hAnsi="Tahoma" w:cs="Tahoma"/>
          <w:sz w:val="16"/>
          <w:szCs w:val="18"/>
        </w:rPr>
        <w:t>Assume riscos mais altos, em busca da maior rentabilidade possível. Entende que a oscilação diária dos mercados é suavizada no médio e no longo prazos, quando o mercado apresenta maior estabilidade. O arrojado tem um percentual maior da carteira em renda variável do que os moderados. Prioriza a rentabilidade do investimento.</w:t>
      </w:r>
    </w:p>
    <w:p w:rsidR="00347939" w:rsidRDefault="00347939" w:rsidP="00AD12FB">
      <w:pPr>
        <w:spacing w:after="120"/>
        <w:ind w:firstLine="709"/>
        <w:jc w:val="both"/>
        <w:rPr>
          <w:rFonts w:ascii="Tahoma" w:hAnsi="Tahoma" w:cs="Tahoma"/>
          <w:sz w:val="20"/>
        </w:rPr>
      </w:pPr>
      <w:r w:rsidRPr="00BE6FCD">
        <w:rPr>
          <w:rFonts w:ascii="Tahoma" w:hAnsi="Tahoma" w:cs="Tahoma"/>
          <w:sz w:val="20"/>
        </w:rPr>
        <w:t xml:space="preserve">Desta maneira, considerando </w:t>
      </w:r>
      <w:r w:rsidR="00E201C5" w:rsidRPr="00BE6FCD">
        <w:rPr>
          <w:rFonts w:ascii="Tahoma" w:hAnsi="Tahoma" w:cs="Tahoma"/>
          <w:sz w:val="20"/>
        </w:rPr>
        <w:t>o posicionamento histórico nos investimentos do RPPS e</w:t>
      </w:r>
      <w:r w:rsidR="00621CC7" w:rsidRPr="00BE6FCD">
        <w:rPr>
          <w:rFonts w:ascii="Tahoma" w:hAnsi="Tahoma" w:cs="Tahoma"/>
          <w:sz w:val="20"/>
        </w:rPr>
        <w:t>,</w:t>
      </w:r>
      <w:r w:rsidR="00E201C5" w:rsidRPr="00BE6FCD">
        <w:rPr>
          <w:rFonts w:ascii="Tahoma" w:hAnsi="Tahoma" w:cs="Tahoma"/>
          <w:sz w:val="20"/>
        </w:rPr>
        <w:t xml:space="preserve"> também</w:t>
      </w:r>
      <w:r w:rsidR="00621CC7" w:rsidRPr="00BE6FCD">
        <w:rPr>
          <w:rFonts w:ascii="Tahoma" w:hAnsi="Tahoma" w:cs="Tahoma"/>
          <w:sz w:val="20"/>
        </w:rPr>
        <w:t>,</w:t>
      </w:r>
      <w:r w:rsidR="00E201C5" w:rsidRPr="00BE6FCD">
        <w:rPr>
          <w:rFonts w:ascii="Tahoma" w:hAnsi="Tahoma" w:cs="Tahoma"/>
          <w:sz w:val="20"/>
        </w:rPr>
        <w:t xml:space="preserve"> ponderando o posicionamento d</w:t>
      </w:r>
      <w:r w:rsidRPr="00BE6FCD">
        <w:rPr>
          <w:rFonts w:ascii="Tahoma" w:hAnsi="Tahoma" w:cs="Tahoma"/>
          <w:sz w:val="20"/>
        </w:rPr>
        <w:t>os</w:t>
      </w:r>
      <w:r w:rsidR="00E201C5" w:rsidRPr="00BE6FCD">
        <w:rPr>
          <w:rFonts w:ascii="Tahoma" w:hAnsi="Tahoma" w:cs="Tahoma"/>
          <w:sz w:val="20"/>
        </w:rPr>
        <w:t xml:space="preserve"> seus</w:t>
      </w:r>
      <w:r w:rsidRPr="00BE6FCD">
        <w:rPr>
          <w:rFonts w:ascii="Tahoma" w:hAnsi="Tahoma" w:cs="Tahoma"/>
          <w:sz w:val="20"/>
        </w:rPr>
        <w:t xml:space="preserve"> gestores, </w:t>
      </w:r>
      <w:r w:rsidR="006E059E" w:rsidRPr="00BE6FCD">
        <w:rPr>
          <w:rFonts w:ascii="Tahoma" w:hAnsi="Tahoma" w:cs="Tahoma"/>
          <w:sz w:val="20"/>
        </w:rPr>
        <w:t>ressaltamos</w:t>
      </w:r>
      <w:r w:rsidRPr="00BE6FCD">
        <w:rPr>
          <w:rFonts w:ascii="Tahoma" w:hAnsi="Tahoma" w:cs="Tahoma"/>
          <w:sz w:val="20"/>
        </w:rPr>
        <w:t xml:space="preserve"> que</w:t>
      </w:r>
      <w:r w:rsidR="006E059E" w:rsidRPr="00BE6FCD">
        <w:rPr>
          <w:rFonts w:ascii="Tahoma" w:hAnsi="Tahoma" w:cs="Tahoma"/>
          <w:sz w:val="20"/>
        </w:rPr>
        <w:t xml:space="preserve"> o </w:t>
      </w:r>
      <w:r w:rsidR="008F04AC" w:rsidRPr="00BE6FCD">
        <w:rPr>
          <w:rFonts w:ascii="Tahoma" w:hAnsi="Tahoma" w:cs="Tahoma"/>
          <w:sz w:val="20"/>
        </w:rPr>
        <w:fldChar w:fldCharType="begin"/>
      </w:r>
      <w:r w:rsidR="00E201C5" w:rsidRPr="00BE6FCD">
        <w:rPr>
          <w:rFonts w:ascii="Tahoma" w:hAnsi="Tahoma" w:cs="Tahoma"/>
          <w:sz w:val="20"/>
        </w:rPr>
        <w:instrText xml:space="preserve"> MERGEFIELD NOME_DO_FUNDO </w:instrText>
      </w:r>
      <w:r w:rsidR="008F04AC" w:rsidRPr="00BE6FCD">
        <w:rPr>
          <w:rFonts w:ascii="Tahoma" w:hAnsi="Tahoma" w:cs="Tahoma"/>
          <w:sz w:val="20"/>
        </w:rPr>
        <w:fldChar w:fldCharType="separate"/>
      </w:r>
      <w:r w:rsidR="004A232E" w:rsidRPr="00BC514D">
        <w:rPr>
          <w:rFonts w:ascii="Tahoma" w:hAnsi="Tahoma" w:cs="Tahoma"/>
          <w:noProof/>
          <w:sz w:val="20"/>
        </w:rPr>
        <w:t>REGIME PRÓPRIO DE PREVIDÊNCIA DO SERVIDOR DE ENTRE-IJUÍS</w:t>
      </w:r>
      <w:r w:rsidR="008F04AC" w:rsidRPr="00BE6FCD">
        <w:rPr>
          <w:rFonts w:ascii="Tahoma" w:hAnsi="Tahoma" w:cs="Tahoma"/>
          <w:sz w:val="20"/>
        </w:rPr>
        <w:fldChar w:fldCharType="end"/>
      </w:r>
      <w:r w:rsidRPr="00BE6FCD">
        <w:rPr>
          <w:rFonts w:ascii="Tahoma" w:hAnsi="Tahoma" w:cs="Tahoma"/>
          <w:sz w:val="20"/>
        </w:rPr>
        <w:t xml:space="preserve"> possui o perfil</w:t>
      </w:r>
      <w:r w:rsidR="006E059E" w:rsidRPr="00BE6FCD">
        <w:rPr>
          <w:rFonts w:ascii="Tahoma" w:hAnsi="Tahoma" w:cs="Tahoma"/>
          <w:sz w:val="20"/>
        </w:rPr>
        <w:t xml:space="preserve"> de investidor </w:t>
      </w:r>
      <w:r w:rsidR="008F04AC" w:rsidRPr="00BE6FCD">
        <w:rPr>
          <w:rFonts w:ascii="Tahoma" w:hAnsi="Tahoma" w:cs="Tahoma"/>
          <w:b/>
          <w:bCs/>
          <w:sz w:val="20"/>
        </w:rPr>
        <w:fldChar w:fldCharType="begin"/>
      </w:r>
      <w:r w:rsidR="00BB3ABA" w:rsidRPr="00BE6FCD">
        <w:rPr>
          <w:rFonts w:ascii="Tahoma" w:hAnsi="Tahoma" w:cs="Tahoma"/>
          <w:b/>
          <w:bCs/>
          <w:sz w:val="20"/>
        </w:rPr>
        <w:instrText xml:space="preserve"> MERGEFIELD PERFIL </w:instrText>
      </w:r>
      <w:r w:rsidR="008F04AC" w:rsidRPr="00BE6FCD">
        <w:rPr>
          <w:rFonts w:ascii="Tahoma" w:hAnsi="Tahoma" w:cs="Tahoma"/>
          <w:b/>
          <w:bCs/>
          <w:sz w:val="20"/>
        </w:rPr>
        <w:fldChar w:fldCharType="separate"/>
      </w:r>
      <w:r w:rsidR="004A232E" w:rsidRPr="00BC514D">
        <w:rPr>
          <w:rFonts w:ascii="Tahoma" w:hAnsi="Tahoma" w:cs="Tahoma"/>
          <w:b/>
          <w:bCs/>
          <w:noProof/>
          <w:sz w:val="20"/>
        </w:rPr>
        <w:t>Moderado</w:t>
      </w:r>
      <w:r w:rsidR="008F04AC" w:rsidRPr="00BE6FCD">
        <w:rPr>
          <w:rFonts w:ascii="Tahoma" w:hAnsi="Tahoma" w:cs="Tahoma"/>
          <w:b/>
          <w:bCs/>
          <w:sz w:val="20"/>
        </w:rPr>
        <w:fldChar w:fldCharType="end"/>
      </w:r>
      <w:r w:rsidRPr="00BE6FCD">
        <w:rPr>
          <w:rFonts w:ascii="Tahoma" w:hAnsi="Tahoma" w:cs="Tahoma"/>
          <w:sz w:val="20"/>
        </w:rPr>
        <w:t>.</w:t>
      </w:r>
    </w:p>
    <w:p w:rsidR="00465C63" w:rsidRPr="00E8601E" w:rsidRDefault="00465C63" w:rsidP="00EC5FD6">
      <w:pPr>
        <w:pStyle w:val="Ttulo2"/>
        <w:spacing w:after="120"/>
        <w:rPr>
          <w:rFonts w:ascii="Tahoma" w:eastAsiaTheme="minorEastAsia" w:hAnsi="Tahoma" w:cs="Tahoma"/>
          <w:b/>
          <w:color w:val="auto"/>
          <w:sz w:val="20"/>
          <w:szCs w:val="22"/>
        </w:rPr>
      </w:pPr>
      <w:bookmarkStart w:id="30" w:name="_Toc181778174"/>
      <w:r>
        <w:rPr>
          <w:rFonts w:ascii="Tahoma" w:eastAsiaTheme="minorEastAsia" w:hAnsi="Tahoma" w:cs="Tahoma"/>
          <w:b/>
          <w:color w:val="auto"/>
          <w:sz w:val="20"/>
          <w:szCs w:val="22"/>
        </w:rPr>
        <w:t>Plano de Conti</w:t>
      </w:r>
      <w:r w:rsidR="00C8052C">
        <w:rPr>
          <w:rFonts w:ascii="Tahoma" w:eastAsiaTheme="minorEastAsia" w:hAnsi="Tahoma" w:cs="Tahoma"/>
          <w:b/>
          <w:color w:val="auto"/>
          <w:sz w:val="20"/>
          <w:szCs w:val="22"/>
        </w:rPr>
        <w:t>n</w:t>
      </w:r>
      <w:r>
        <w:rPr>
          <w:rFonts w:ascii="Tahoma" w:eastAsiaTheme="minorEastAsia" w:hAnsi="Tahoma" w:cs="Tahoma"/>
          <w:b/>
          <w:color w:val="auto"/>
          <w:sz w:val="20"/>
          <w:szCs w:val="22"/>
        </w:rPr>
        <w:t>gência para situações de crise no mercado financeiro</w:t>
      </w:r>
      <w:bookmarkEnd w:id="30"/>
    </w:p>
    <w:p w:rsidR="00465C63" w:rsidRDefault="00465C63" w:rsidP="00AD12FB">
      <w:pPr>
        <w:spacing w:after="120"/>
        <w:ind w:firstLine="709"/>
        <w:jc w:val="both"/>
        <w:rPr>
          <w:rFonts w:ascii="Tahoma" w:hAnsi="Tahoma" w:cs="Tahoma"/>
          <w:sz w:val="20"/>
        </w:rPr>
      </w:pPr>
    </w:p>
    <w:p w:rsidR="00465C63" w:rsidRPr="00BE6FCD" w:rsidRDefault="00465C63" w:rsidP="00AD12FB">
      <w:pPr>
        <w:spacing w:after="120"/>
        <w:ind w:firstLine="709"/>
        <w:jc w:val="both"/>
        <w:rPr>
          <w:rFonts w:ascii="Tahoma" w:hAnsi="Tahoma" w:cs="Tahoma"/>
          <w:sz w:val="20"/>
        </w:rPr>
      </w:pPr>
      <w:r w:rsidRPr="00BE6FCD">
        <w:rPr>
          <w:rFonts w:ascii="Tahoma" w:hAnsi="Tahoma" w:cs="Tahoma"/>
          <w:sz w:val="20"/>
        </w:rPr>
        <w:t xml:space="preserve">O Plano de Contingência estabelecido, contempla a abrangência exigida pela Resolução CMN n° </w:t>
      </w:r>
      <w:r w:rsidR="00CB03D4" w:rsidRPr="00BE6FCD">
        <w:rPr>
          <w:rFonts w:ascii="Tahoma" w:hAnsi="Tahoma" w:cs="Tahoma"/>
          <w:sz w:val="20"/>
        </w:rPr>
        <w:t>4.963/2021</w:t>
      </w:r>
      <w:r w:rsidRPr="00BE6FCD">
        <w:rPr>
          <w:rFonts w:ascii="Tahoma" w:hAnsi="Tahoma" w:cs="Tahoma"/>
          <w:sz w:val="20"/>
        </w:rPr>
        <w:t xml:space="preserve">, em seu Art. 4°, inciso VIII, ou seja, entende-se por "contingência" no âmbito desta </w:t>
      </w:r>
      <w:r w:rsidR="007A0B11" w:rsidRPr="00BE6FCD">
        <w:rPr>
          <w:rFonts w:ascii="Tahoma" w:hAnsi="Tahoma" w:cs="Tahoma"/>
          <w:sz w:val="20"/>
        </w:rPr>
        <w:t>Política de Investimentos</w:t>
      </w:r>
      <w:r w:rsidRPr="00BE6FCD">
        <w:rPr>
          <w:rFonts w:ascii="Tahoma" w:hAnsi="Tahoma" w:cs="Tahoma"/>
          <w:sz w:val="20"/>
        </w:rPr>
        <w:t xml:space="preserve"> a excessiva exposição a riscos ou potenciais perdas dos recursos.</w:t>
      </w:r>
      <w:r w:rsidR="007E1801" w:rsidRPr="00BE6FCD">
        <w:rPr>
          <w:rFonts w:ascii="Tahoma" w:hAnsi="Tahoma" w:cs="Tahoma"/>
          <w:sz w:val="20"/>
        </w:rPr>
        <w:t xml:space="preserve"> Vale ressaltar que também atend</w:t>
      </w:r>
      <w:r w:rsidR="00621CC7" w:rsidRPr="00BE6FCD">
        <w:rPr>
          <w:rFonts w:ascii="Tahoma" w:hAnsi="Tahoma" w:cs="Tahoma"/>
          <w:sz w:val="20"/>
        </w:rPr>
        <w:t>e</w:t>
      </w:r>
      <w:r w:rsidR="007E1801" w:rsidRPr="00BE6FCD">
        <w:rPr>
          <w:rFonts w:ascii="Tahoma" w:hAnsi="Tahoma" w:cs="Tahoma"/>
          <w:sz w:val="20"/>
        </w:rPr>
        <w:t xml:space="preserve"> a Portaria MTP</w:t>
      </w:r>
      <w:r w:rsidR="00621CC7" w:rsidRPr="00BE6FCD">
        <w:rPr>
          <w:rFonts w:ascii="Tahoma" w:hAnsi="Tahoma" w:cs="Tahoma"/>
          <w:sz w:val="20"/>
        </w:rPr>
        <w:t xml:space="preserve"> nº</w:t>
      </w:r>
      <w:r w:rsidR="007E1801" w:rsidRPr="00BE6FCD">
        <w:rPr>
          <w:rFonts w:ascii="Tahoma" w:hAnsi="Tahoma" w:cs="Tahoma"/>
          <w:sz w:val="20"/>
        </w:rPr>
        <w:t xml:space="preserve"> 1.467/2022 (Art. 102).</w:t>
      </w:r>
    </w:p>
    <w:p w:rsidR="00465C63" w:rsidRPr="00BE6FCD" w:rsidRDefault="00465C63" w:rsidP="00AD12FB">
      <w:pPr>
        <w:spacing w:after="120"/>
        <w:ind w:firstLine="709"/>
        <w:jc w:val="both"/>
        <w:rPr>
          <w:rFonts w:ascii="Tahoma" w:hAnsi="Tahoma" w:cs="Tahoma"/>
          <w:sz w:val="20"/>
        </w:rPr>
      </w:pPr>
      <w:r w:rsidRPr="00BE6FCD">
        <w:rPr>
          <w:rFonts w:ascii="Tahoma" w:hAnsi="Tahoma" w:cs="Tahoma"/>
          <w:sz w:val="20"/>
        </w:rPr>
        <w:t xml:space="preserve">Com a identificação clara das contingências chegamos ao desenvolvimento do plano no processo dos investimentos, que abrange não somente o </w:t>
      </w:r>
      <w:r w:rsidR="008F04AC" w:rsidRPr="00BE6FCD">
        <w:rPr>
          <w:rFonts w:ascii="Tahoma" w:hAnsi="Tahoma" w:cs="Tahoma"/>
          <w:b/>
          <w:bCs/>
          <w:sz w:val="20"/>
        </w:rPr>
        <w:fldChar w:fldCharType="begin"/>
      </w:r>
      <w:r w:rsidR="002670EA" w:rsidRPr="00BE6FCD">
        <w:rPr>
          <w:rFonts w:ascii="Tahoma" w:hAnsi="Tahoma" w:cs="Tahoma"/>
          <w:b/>
          <w:bCs/>
          <w:sz w:val="20"/>
        </w:rPr>
        <w:instrText xml:space="preserve"> MERGEFIELD COMITÊ </w:instrText>
      </w:r>
      <w:r w:rsidR="008F04AC" w:rsidRPr="00BE6FCD">
        <w:rPr>
          <w:rFonts w:ascii="Tahoma" w:hAnsi="Tahoma" w:cs="Tahoma"/>
          <w:b/>
          <w:bCs/>
          <w:sz w:val="20"/>
        </w:rPr>
        <w:fldChar w:fldCharType="separate"/>
      </w:r>
      <w:r w:rsidR="004A232E" w:rsidRPr="00BC514D">
        <w:rPr>
          <w:rFonts w:ascii="Tahoma" w:hAnsi="Tahoma" w:cs="Tahoma"/>
          <w:b/>
          <w:bCs/>
          <w:noProof/>
          <w:sz w:val="20"/>
        </w:rPr>
        <w:t>COMITÊ DE INVESTIMENTOS</w:t>
      </w:r>
      <w:r w:rsidR="008F04AC" w:rsidRPr="00BE6FCD">
        <w:rPr>
          <w:rFonts w:ascii="Tahoma" w:hAnsi="Tahoma" w:cs="Tahoma"/>
          <w:b/>
          <w:bCs/>
          <w:sz w:val="20"/>
        </w:rPr>
        <w:fldChar w:fldCharType="end"/>
      </w:r>
      <w:r w:rsidRPr="00BE6FCD">
        <w:rPr>
          <w:rFonts w:ascii="Tahoma" w:hAnsi="Tahoma" w:cs="Tahoma"/>
          <w:sz w:val="20"/>
        </w:rPr>
        <w:t xml:space="preserve"> </w:t>
      </w:r>
      <w:r w:rsidR="00621CC7" w:rsidRPr="00BE6FCD">
        <w:rPr>
          <w:rFonts w:ascii="Tahoma" w:hAnsi="Tahoma" w:cs="Tahoma"/>
          <w:sz w:val="20"/>
        </w:rPr>
        <w:t xml:space="preserve">, </w:t>
      </w:r>
      <w:r w:rsidRPr="00BE6FCD">
        <w:rPr>
          <w:rFonts w:ascii="Tahoma" w:hAnsi="Tahoma" w:cs="Tahoma"/>
          <w:sz w:val="20"/>
        </w:rPr>
        <w:t xml:space="preserve">mas o </w:t>
      </w:r>
      <w:r w:rsidR="008F04AC" w:rsidRPr="00BE6FCD">
        <w:rPr>
          <w:rFonts w:ascii="Tahoma" w:hAnsi="Tahoma" w:cs="Tahoma"/>
          <w:b/>
          <w:bCs/>
          <w:noProof/>
          <w:sz w:val="20"/>
        </w:rPr>
        <w:fldChar w:fldCharType="begin"/>
      </w:r>
      <w:r w:rsidR="002670EA" w:rsidRPr="00BE6FCD">
        <w:rPr>
          <w:rFonts w:ascii="Tahoma" w:hAnsi="Tahoma" w:cs="Tahoma"/>
          <w:b/>
          <w:bCs/>
          <w:noProof/>
          <w:sz w:val="20"/>
        </w:rPr>
        <w:instrText xml:space="preserve"> MERGEFIELD CONSELHO </w:instrText>
      </w:r>
      <w:r w:rsidR="008F04AC" w:rsidRPr="00BE6FCD">
        <w:rPr>
          <w:rFonts w:ascii="Tahoma" w:hAnsi="Tahoma" w:cs="Tahoma"/>
          <w:b/>
          <w:bCs/>
          <w:noProof/>
          <w:sz w:val="20"/>
        </w:rPr>
        <w:fldChar w:fldCharType="separate"/>
      </w:r>
      <w:r w:rsidR="004A232E" w:rsidRPr="00BC514D">
        <w:rPr>
          <w:rFonts w:ascii="Tahoma" w:hAnsi="Tahoma" w:cs="Tahoma"/>
          <w:b/>
          <w:bCs/>
          <w:noProof/>
          <w:sz w:val="20"/>
        </w:rPr>
        <w:t>CONSELHO DO REGIME PRÓPRIO DE PREVIDÊNCIA DE ENTRE-IJUÍS</w:t>
      </w:r>
      <w:r w:rsidR="008F04AC" w:rsidRPr="00BE6FCD">
        <w:rPr>
          <w:rFonts w:ascii="Tahoma" w:hAnsi="Tahoma" w:cs="Tahoma"/>
          <w:b/>
          <w:bCs/>
          <w:noProof/>
          <w:sz w:val="20"/>
        </w:rPr>
        <w:fldChar w:fldCharType="end"/>
      </w:r>
      <w:r w:rsidRPr="00BE6FCD">
        <w:rPr>
          <w:rFonts w:ascii="Tahoma" w:hAnsi="Tahoma" w:cs="Tahoma"/>
          <w:sz w:val="20"/>
        </w:rPr>
        <w:t>.</w:t>
      </w:r>
    </w:p>
    <w:p w:rsidR="00465C63" w:rsidRDefault="00465C63" w:rsidP="00AD12FB">
      <w:pPr>
        <w:spacing w:after="120"/>
        <w:ind w:firstLine="709"/>
        <w:jc w:val="both"/>
        <w:rPr>
          <w:rFonts w:ascii="Tahoma" w:hAnsi="Tahoma" w:cs="Tahoma"/>
          <w:sz w:val="20"/>
        </w:rPr>
      </w:pPr>
      <w:r w:rsidRPr="00BE6FCD">
        <w:rPr>
          <w:rFonts w:ascii="Tahoma" w:hAnsi="Tahoma" w:cs="Tahoma"/>
          <w:sz w:val="20"/>
        </w:rPr>
        <w:t xml:space="preserve">Entende-se como Exposição </w:t>
      </w:r>
      <w:r w:rsidR="005731B7" w:rsidRPr="00BE6FCD">
        <w:rPr>
          <w:rFonts w:ascii="Tahoma" w:hAnsi="Tahoma" w:cs="Tahoma"/>
          <w:sz w:val="20"/>
        </w:rPr>
        <w:t>à</w:t>
      </w:r>
      <w:r w:rsidRPr="00BE6FCD">
        <w:rPr>
          <w:rFonts w:ascii="Tahoma" w:hAnsi="Tahoma" w:cs="Tahoma"/>
          <w:sz w:val="20"/>
        </w:rPr>
        <w:t xml:space="preserve"> Risco os investimentos que direcionam a carteira de investimentos do </w:t>
      </w:r>
      <w:r w:rsidR="008F04AC" w:rsidRPr="00BE6FCD">
        <w:rPr>
          <w:rFonts w:ascii="Tahoma" w:hAnsi="Tahoma" w:cs="Tahoma"/>
          <w:b/>
          <w:bCs/>
          <w:noProof/>
          <w:sz w:val="20"/>
        </w:rPr>
        <w:fldChar w:fldCharType="begin"/>
      </w:r>
      <w:r w:rsidR="002670EA" w:rsidRPr="00BE6FCD">
        <w:rPr>
          <w:rFonts w:ascii="Tahoma" w:hAnsi="Tahoma" w:cs="Tahoma"/>
          <w:b/>
          <w:bCs/>
          <w:noProof/>
          <w:sz w:val="20"/>
        </w:rPr>
        <w:instrText xml:space="preserve"> MERGEFIELD NOME_DO_FUNDO </w:instrText>
      </w:r>
      <w:r w:rsidR="008F04AC" w:rsidRPr="00BE6FCD">
        <w:rPr>
          <w:rFonts w:ascii="Tahoma" w:hAnsi="Tahoma" w:cs="Tahoma"/>
          <w:b/>
          <w:bCs/>
          <w:noProof/>
          <w:sz w:val="20"/>
        </w:rPr>
        <w:fldChar w:fldCharType="separate"/>
      </w:r>
      <w:r w:rsidR="004A232E" w:rsidRPr="00BC514D">
        <w:rPr>
          <w:rFonts w:ascii="Tahoma" w:hAnsi="Tahoma" w:cs="Tahoma"/>
          <w:b/>
          <w:bCs/>
          <w:noProof/>
          <w:sz w:val="20"/>
        </w:rPr>
        <w:t>REGIME PRÓPRIO DE PREVIDÊNCIA DO SERVIDOR DE ENTRE-IJUÍS</w:t>
      </w:r>
      <w:r w:rsidR="008F04AC" w:rsidRPr="00BE6FCD">
        <w:rPr>
          <w:rFonts w:ascii="Tahoma" w:hAnsi="Tahoma" w:cs="Tahoma"/>
          <w:b/>
          <w:bCs/>
          <w:noProof/>
          <w:sz w:val="20"/>
        </w:rPr>
        <w:fldChar w:fldCharType="end"/>
      </w:r>
      <w:r w:rsidRPr="00BE6FCD">
        <w:rPr>
          <w:rFonts w:ascii="Tahoma" w:hAnsi="Tahoma" w:cs="Tahoma"/>
          <w:sz w:val="20"/>
        </w:rPr>
        <w:t xml:space="preserve"> para o não cumprimento dos limites, requisitos e normas estabelecidos aos </w:t>
      </w:r>
      <w:r w:rsidR="008F04AC" w:rsidRPr="00BE6FCD">
        <w:rPr>
          <w:rFonts w:ascii="Tahoma" w:hAnsi="Tahoma" w:cs="Tahoma"/>
          <w:b/>
          <w:bCs/>
          <w:sz w:val="20"/>
        </w:rPr>
        <w:fldChar w:fldCharType="begin"/>
      </w:r>
      <w:r w:rsidR="00C01C06" w:rsidRPr="00BE6FCD">
        <w:rPr>
          <w:rFonts w:ascii="Tahoma" w:hAnsi="Tahoma" w:cs="Tahoma"/>
          <w:b/>
          <w:bCs/>
          <w:sz w:val="20"/>
        </w:rPr>
        <w:instrText xml:space="preserve"> MERGEFIELD TP </w:instrText>
      </w:r>
      <w:r w:rsidR="008F04AC" w:rsidRPr="00BE6FCD">
        <w:rPr>
          <w:rFonts w:ascii="Tahoma" w:hAnsi="Tahoma" w:cs="Tahoma"/>
          <w:b/>
          <w:bCs/>
          <w:sz w:val="20"/>
        </w:rPr>
        <w:fldChar w:fldCharType="separate"/>
      </w:r>
      <w:r w:rsidR="004A232E" w:rsidRPr="00BC514D">
        <w:rPr>
          <w:rFonts w:ascii="Tahoma" w:hAnsi="Tahoma" w:cs="Tahoma"/>
          <w:b/>
          <w:bCs/>
          <w:noProof/>
          <w:sz w:val="20"/>
        </w:rPr>
        <w:t>RPPS</w:t>
      </w:r>
      <w:r w:rsidR="008F04AC" w:rsidRPr="00BE6FCD">
        <w:rPr>
          <w:rFonts w:ascii="Tahoma" w:hAnsi="Tahoma" w:cs="Tahoma"/>
          <w:b/>
          <w:bCs/>
          <w:sz w:val="20"/>
        </w:rPr>
        <w:fldChar w:fldCharType="end"/>
      </w:r>
      <w:r w:rsidRPr="00BE6FCD">
        <w:rPr>
          <w:rFonts w:ascii="Tahoma" w:hAnsi="Tahoma" w:cs="Tahoma"/>
          <w:sz w:val="20"/>
        </w:rPr>
        <w:t>. Então, para minimizar os impactos de uma exposição ao risco, é fundamental que o plano de contingência estipule uma</w:t>
      </w:r>
      <w:r w:rsidRPr="00FC6F8F">
        <w:rPr>
          <w:rFonts w:ascii="Tahoma" w:hAnsi="Tahoma" w:cs="Tahoma"/>
          <w:sz w:val="20"/>
        </w:rPr>
        <w:t xml:space="preserve"> metodologia</w:t>
      </w:r>
      <w:r>
        <w:rPr>
          <w:rFonts w:ascii="Tahoma" w:hAnsi="Tahoma" w:cs="Tahoma"/>
          <w:sz w:val="20"/>
        </w:rPr>
        <w:t>, conforme abaixo</w:t>
      </w:r>
      <w:r w:rsidRPr="00FC6F8F">
        <w:rPr>
          <w:rFonts w:ascii="Tahoma" w:hAnsi="Tahoma" w:cs="Tahoma"/>
          <w:sz w:val="20"/>
        </w:rPr>
        <w:t>:</w:t>
      </w:r>
      <w:r>
        <w:rPr>
          <w:rFonts w:ascii="Tahoma" w:hAnsi="Tahoma" w:cs="Tahoma"/>
          <w:sz w:val="20"/>
        </w:rPr>
        <w:t xml:space="preserve"> </w:t>
      </w:r>
    </w:p>
    <w:p w:rsidR="00465C63" w:rsidRDefault="008F04AC" w:rsidP="00A50E9C">
      <w:pPr>
        <w:spacing w:after="120"/>
        <w:jc w:val="both"/>
        <w:rPr>
          <w:rFonts w:ascii="Tahoma" w:hAnsi="Tahoma" w:cs="Tahoma"/>
          <w:sz w:val="20"/>
        </w:rPr>
      </w:pPr>
      <w:r>
        <w:rPr>
          <w:rFonts w:ascii="Tahoma" w:hAnsi="Tahoma" w:cs="Tahoma"/>
          <w:noProof/>
          <w:sz w:val="20"/>
        </w:rPr>
        <w:pict>
          <v:shape id="Caixa de Texto 13" o:spid="_x0000_s2060" type="#_x0000_t202" style="position:absolute;left:0;text-align:left;margin-left:233.1pt;margin-top:10.9pt;width:170.6pt;height:101.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" filled="f" stroked="f" strokecolor="#1f497d" strokeweight="1.25pt">
            <v:stroke dashstyle="dash"/>
            <v:textbox>
              <w:txbxContent>
                <w:p w:rsidR="007A0B11" w:rsidRDefault="007A0B11" w:rsidP="00D87AB6">
                  <w:r w:rsidRPr="00DF3F98">
                    <w:rPr>
                      <w:noProof/>
                    </w:rPr>
                    <w:drawing>
                      <wp:inline distT="0" distB="0" distL="0" distR="0">
                        <wp:extent cx="1914525" cy="1194435"/>
                        <wp:effectExtent l="0" t="0" r="9525" b="5715"/>
                        <wp:docPr id="1079581867" name="Imagem 107958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914525" cy="1194435"/>
                                </a:xfrm>
                                <a:prstGeom prst="rect">
                                  <a:avLst/>
                                </a:prstGeom>
                                <a:noFill/>
                                <a:ln>
                                  <a:noFill/>
                                </a:ln>
                              </pic:spPr>
                            </pic:pic>
                          </a:graphicData>
                        </a:graphic>
                      </wp:inline>
                    </w:drawing>
                  </w:r>
                </w:p>
                <w:p w:rsidR="007A0B11" w:rsidRPr="00C35223" w:rsidRDefault="007A0B11" w:rsidP="00D87AB6">
                  <w:pPr>
                    <w:rPr>
                      <w:szCs w:val="20"/>
                    </w:rPr>
                  </w:pPr>
                </w:p>
              </w:txbxContent>
            </v:textbox>
            <w10:wrap type="square" anchorx="margin"/>
          </v:shape>
        </w:pict>
      </w:r>
    </w:p>
    <w:p w:rsidR="00465C63" w:rsidRPr="00FC6F8F" w:rsidRDefault="00465C63" w:rsidP="00A50E9C">
      <w:pPr>
        <w:pStyle w:val="PargrafodaLista"/>
        <w:numPr>
          <w:ilvl w:val="0"/>
          <w:numId w:val="16"/>
        </w:numPr>
        <w:spacing w:after="120"/>
        <w:rPr>
          <w:rFonts w:ascii="Tahoma" w:hAnsi="Tahoma" w:cs="Tahoma"/>
          <w:sz w:val="20"/>
        </w:rPr>
      </w:pPr>
      <w:r w:rsidRPr="00FC6F8F">
        <w:rPr>
          <w:rFonts w:ascii="Tahoma" w:hAnsi="Tahoma" w:cs="Tahoma"/>
          <w:sz w:val="20"/>
        </w:rPr>
        <w:t xml:space="preserve">Monitoramento e avaliação; </w:t>
      </w:r>
    </w:p>
    <w:p w:rsidR="00465C63" w:rsidRPr="00FC6F8F" w:rsidRDefault="00465C63" w:rsidP="00A50E9C">
      <w:pPr>
        <w:pStyle w:val="PargrafodaLista"/>
        <w:numPr>
          <w:ilvl w:val="0"/>
          <w:numId w:val="16"/>
        </w:numPr>
        <w:spacing w:after="120"/>
        <w:rPr>
          <w:rFonts w:ascii="Tahoma" w:hAnsi="Tahoma" w:cs="Tahoma"/>
          <w:sz w:val="20"/>
        </w:rPr>
      </w:pPr>
      <w:r w:rsidRPr="00FC6F8F">
        <w:rPr>
          <w:rFonts w:ascii="Tahoma" w:hAnsi="Tahoma" w:cs="Tahoma"/>
          <w:sz w:val="20"/>
        </w:rPr>
        <w:t xml:space="preserve">Identificação </w:t>
      </w:r>
      <w:r>
        <w:rPr>
          <w:rFonts w:ascii="Tahoma" w:hAnsi="Tahoma" w:cs="Tahoma"/>
          <w:sz w:val="20"/>
        </w:rPr>
        <w:t>do risco</w:t>
      </w:r>
      <w:r w:rsidRPr="00FC6F8F">
        <w:rPr>
          <w:rFonts w:ascii="Tahoma" w:hAnsi="Tahoma" w:cs="Tahoma"/>
          <w:sz w:val="20"/>
        </w:rPr>
        <w:t>;</w:t>
      </w:r>
    </w:p>
    <w:p w:rsidR="00465C63" w:rsidRPr="00FC6F8F" w:rsidRDefault="00465C63" w:rsidP="00A50E9C">
      <w:pPr>
        <w:pStyle w:val="PargrafodaLista"/>
        <w:numPr>
          <w:ilvl w:val="0"/>
          <w:numId w:val="16"/>
        </w:numPr>
        <w:spacing w:after="120"/>
        <w:rPr>
          <w:rFonts w:ascii="Tahoma" w:hAnsi="Tahoma" w:cs="Tahoma"/>
          <w:sz w:val="20"/>
        </w:rPr>
      </w:pPr>
      <w:r w:rsidRPr="00FC6F8F">
        <w:rPr>
          <w:rFonts w:ascii="Tahoma" w:hAnsi="Tahoma" w:cs="Tahoma"/>
          <w:sz w:val="20"/>
        </w:rPr>
        <w:t>Comunicação interna;</w:t>
      </w:r>
    </w:p>
    <w:p w:rsidR="00465C63" w:rsidRDefault="00465C63" w:rsidP="00A50E9C">
      <w:pPr>
        <w:pStyle w:val="PargrafodaLista"/>
        <w:numPr>
          <w:ilvl w:val="0"/>
          <w:numId w:val="16"/>
        </w:numPr>
        <w:spacing w:after="120"/>
        <w:rPr>
          <w:rFonts w:ascii="Tahoma" w:hAnsi="Tahoma" w:cs="Tahoma"/>
          <w:sz w:val="20"/>
        </w:rPr>
      </w:pPr>
      <w:r w:rsidRPr="00FC6F8F">
        <w:rPr>
          <w:rFonts w:ascii="Tahoma" w:hAnsi="Tahoma" w:cs="Tahoma"/>
          <w:sz w:val="20"/>
        </w:rPr>
        <w:t>Ações retificadoras</w:t>
      </w:r>
      <w:r>
        <w:rPr>
          <w:rFonts w:ascii="Tahoma" w:hAnsi="Tahoma" w:cs="Tahoma"/>
          <w:sz w:val="20"/>
        </w:rPr>
        <w:t>.</w:t>
      </w:r>
    </w:p>
    <w:p w:rsidR="00465C63" w:rsidRDefault="00465C63" w:rsidP="00A50E9C">
      <w:pPr>
        <w:spacing w:after="120" w:line="240" w:lineRule="auto"/>
        <w:jc w:val="center"/>
        <w:rPr>
          <w:rFonts w:ascii="Tahoma" w:hAnsi="Tahoma" w:cs="Tahoma"/>
          <w:sz w:val="20"/>
        </w:rPr>
      </w:pPr>
    </w:p>
    <w:p w:rsidR="00465C63" w:rsidRDefault="00465C63" w:rsidP="00A50E9C">
      <w:pPr>
        <w:spacing w:after="120" w:line="240" w:lineRule="auto"/>
        <w:jc w:val="center"/>
        <w:rPr>
          <w:rFonts w:ascii="Tahoma" w:hAnsi="Tahoma" w:cs="Tahoma"/>
          <w:sz w:val="20"/>
        </w:rPr>
      </w:pPr>
    </w:p>
    <w:p w:rsidR="00465C63" w:rsidRPr="00BE6FCD" w:rsidRDefault="00465C63" w:rsidP="00A50E9C">
      <w:pPr>
        <w:spacing w:after="120" w:line="240" w:lineRule="auto"/>
        <w:ind w:firstLine="709"/>
        <w:jc w:val="right"/>
        <w:rPr>
          <w:rFonts w:ascii="Tahoma" w:hAnsi="Tahoma" w:cs="Tahoma"/>
          <w:sz w:val="12"/>
          <w:szCs w:val="14"/>
        </w:rPr>
      </w:pPr>
      <w:r w:rsidRPr="00BE6FCD">
        <w:rPr>
          <w:rFonts w:ascii="Tahoma" w:hAnsi="Tahoma" w:cs="Tahoma"/>
          <w:sz w:val="12"/>
          <w:szCs w:val="14"/>
        </w:rPr>
        <w:t>Se</w:t>
      </w:r>
      <w:r w:rsidR="00621CC7" w:rsidRPr="00BE6FCD">
        <w:rPr>
          <w:rFonts w:ascii="Tahoma" w:hAnsi="Tahoma" w:cs="Tahoma"/>
          <w:sz w:val="12"/>
          <w:szCs w:val="14"/>
        </w:rPr>
        <w:t>qu</w:t>
      </w:r>
      <w:r w:rsidRPr="00BE6FCD">
        <w:rPr>
          <w:rFonts w:ascii="Tahoma" w:hAnsi="Tahoma" w:cs="Tahoma"/>
          <w:sz w:val="12"/>
          <w:szCs w:val="14"/>
        </w:rPr>
        <w:t>ência de processos da metodologia do plano de contingência</w:t>
      </w:r>
    </w:p>
    <w:p w:rsidR="00465C63" w:rsidRPr="00BE6FCD" w:rsidRDefault="00465C63" w:rsidP="00A50E9C">
      <w:pPr>
        <w:spacing w:after="120" w:line="240" w:lineRule="auto"/>
        <w:jc w:val="right"/>
        <w:rPr>
          <w:rFonts w:ascii="Tahoma" w:hAnsi="Tahoma" w:cs="Tahoma"/>
          <w:sz w:val="20"/>
        </w:rPr>
      </w:pPr>
    </w:p>
    <w:p w:rsidR="00465C63" w:rsidRPr="00BE6FCD" w:rsidRDefault="00465C63" w:rsidP="00AD12FB">
      <w:pPr>
        <w:spacing w:after="120"/>
        <w:ind w:firstLine="709"/>
        <w:jc w:val="both"/>
        <w:rPr>
          <w:rFonts w:ascii="Tahoma" w:hAnsi="Tahoma" w:cs="Tahoma"/>
          <w:sz w:val="20"/>
        </w:rPr>
      </w:pPr>
      <w:r w:rsidRPr="00BE6FCD">
        <w:rPr>
          <w:rFonts w:ascii="Tahoma" w:hAnsi="Tahoma" w:cs="Tahoma"/>
          <w:sz w:val="20"/>
        </w:rPr>
        <w:t>O</w:t>
      </w:r>
      <w:r w:rsidR="00C01C06" w:rsidRPr="00BE6FCD">
        <w:rPr>
          <w:rFonts w:ascii="Tahoma" w:hAnsi="Tahoma" w:cs="Tahoma"/>
          <w:sz w:val="20"/>
        </w:rPr>
        <w:t xml:space="preserve"> fundo de previdência do</w:t>
      </w:r>
      <w:r w:rsidRPr="00BE6FCD">
        <w:rPr>
          <w:rFonts w:ascii="Tahoma" w:hAnsi="Tahoma" w:cs="Tahoma"/>
          <w:sz w:val="20"/>
        </w:rPr>
        <w:t xml:space="preserve"> </w:t>
      </w:r>
      <w:r w:rsidR="008F04AC" w:rsidRPr="00BE6FCD">
        <w:rPr>
          <w:rFonts w:ascii="Tahoma" w:hAnsi="Tahoma" w:cs="Tahoma"/>
          <w:b/>
          <w:bCs/>
          <w:sz w:val="20"/>
        </w:rPr>
        <w:fldChar w:fldCharType="begin"/>
      </w:r>
      <w:r w:rsidR="002670EA" w:rsidRPr="00BE6FCD">
        <w:rPr>
          <w:rFonts w:ascii="Tahoma" w:hAnsi="Tahoma" w:cs="Tahoma"/>
          <w:b/>
          <w:bCs/>
          <w:sz w:val="20"/>
        </w:rPr>
        <w:instrText xml:space="preserve"> MERGEFIELD RPPS </w:instrText>
      </w:r>
      <w:r w:rsidR="008F04AC" w:rsidRPr="00BE6FCD">
        <w:rPr>
          <w:rFonts w:ascii="Tahoma" w:hAnsi="Tahoma" w:cs="Tahoma"/>
          <w:b/>
          <w:bCs/>
          <w:sz w:val="20"/>
        </w:rPr>
        <w:fldChar w:fldCharType="separate"/>
      </w:r>
      <w:r w:rsidR="004A232E" w:rsidRPr="00BC514D">
        <w:rPr>
          <w:rFonts w:ascii="Tahoma" w:hAnsi="Tahoma" w:cs="Tahoma"/>
          <w:b/>
          <w:bCs/>
          <w:noProof/>
          <w:sz w:val="20"/>
        </w:rPr>
        <w:t>MUNICÍPIO DE ENTRE-IJUÍS</w:t>
      </w:r>
      <w:r w:rsidR="008F04AC" w:rsidRPr="00BE6FCD">
        <w:rPr>
          <w:rFonts w:ascii="Tahoma" w:hAnsi="Tahoma" w:cs="Tahoma"/>
          <w:b/>
          <w:bCs/>
          <w:sz w:val="20"/>
        </w:rPr>
        <w:fldChar w:fldCharType="end"/>
      </w:r>
      <w:r w:rsidRPr="00BE6FCD">
        <w:rPr>
          <w:rFonts w:ascii="Tahoma" w:hAnsi="Tahoma" w:cs="Tahoma"/>
          <w:sz w:val="20"/>
        </w:rPr>
        <w:t xml:space="preserve"> estabelece que poderá adotar os procedimentos relacionados, visando readequar a carteira de investimento</w:t>
      </w:r>
      <w:r w:rsidR="00621CC7" w:rsidRPr="00BE6FCD">
        <w:rPr>
          <w:rFonts w:ascii="Tahoma" w:hAnsi="Tahoma" w:cs="Tahoma"/>
          <w:sz w:val="20"/>
        </w:rPr>
        <w:t>s</w:t>
      </w:r>
      <w:r w:rsidRPr="00BE6FCD">
        <w:rPr>
          <w:rFonts w:ascii="Tahoma" w:hAnsi="Tahoma" w:cs="Tahoma"/>
          <w:sz w:val="20"/>
        </w:rPr>
        <w:t xml:space="preserve"> </w:t>
      </w:r>
      <w:r w:rsidR="005731B7" w:rsidRPr="00BE6FCD">
        <w:rPr>
          <w:rFonts w:ascii="Tahoma" w:hAnsi="Tahoma" w:cs="Tahoma"/>
          <w:sz w:val="20"/>
        </w:rPr>
        <w:t>à</w:t>
      </w:r>
      <w:r w:rsidRPr="00BE6FCD">
        <w:rPr>
          <w:rFonts w:ascii="Tahoma" w:hAnsi="Tahoma" w:cs="Tahoma"/>
          <w:sz w:val="20"/>
        </w:rPr>
        <w:t xml:space="preserve"> legislação e normas desta </w:t>
      </w:r>
      <w:r w:rsidR="007A0B11" w:rsidRPr="00BE6FCD">
        <w:rPr>
          <w:rFonts w:ascii="Tahoma" w:hAnsi="Tahoma" w:cs="Tahoma"/>
          <w:sz w:val="20"/>
        </w:rPr>
        <w:t>Política de Investimentos</w:t>
      </w:r>
      <w:r w:rsidRPr="00BE6FCD">
        <w:rPr>
          <w:rFonts w:ascii="Tahoma" w:hAnsi="Tahoma" w:cs="Tahoma"/>
          <w:sz w:val="20"/>
        </w:rPr>
        <w:t>:</w:t>
      </w:r>
    </w:p>
    <w:p w:rsidR="00465C63" w:rsidRPr="00BE6FCD" w:rsidRDefault="00465C63" w:rsidP="00AD12FB">
      <w:pPr>
        <w:spacing w:after="120"/>
        <w:ind w:firstLine="709"/>
        <w:rPr>
          <w:rFonts w:ascii="Tahoma" w:hAnsi="Tahoma" w:cs="Tahoma"/>
          <w:sz w:val="20"/>
        </w:rPr>
      </w:pPr>
    </w:p>
    <w:p w:rsidR="00465C63" w:rsidRPr="005A2CDA" w:rsidRDefault="00465C63" w:rsidP="00AD12FB">
      <w:pPr>
        <w:spacing w:after="120"/>
        <w:ind w:firstLine="709"/>
        <w:jc w:val="both"/>
        <w:rPr>
          <w:rFonts w:ascii="Tahoma" w:hAnsi="Tahoma" w:cs="Tahoma"/>
          <w:sz w:val="20"/>
        </w:rPr>
      </w:pPr>
      <w:r w:rsidRPr="00BE6FCD">
        <w:rPr>
          <w:rFonts w:ascii="Tahoma" w:hAnsi="Tahoma" w:cs="Tahoma"/>
          <w:i/>
          <w:iCs/>
          <w:sz w:val="20"/>
          <w:u w:val="single"/>
        </w:rPr>
        <w:t>Descumprimento dos limites e requisitos</w:t>
      </w:r>
      <w:r w:rsidRPr="00E168FF">
        <w:rPr>
          <w:rFonts w:ascii="Tahoma" w:hAnsi="Tahoma" w:cs="Tahoma"/>
          <w:i/>
          <w:iCs/>
          <w:sz w:val="20"/>
          <w:u w:val="single"/>
        </w:rPr>
        <w:t xml:space="preserve"> da legislação vigente ou da </w:t>
      </w:r>
      <w:r w:rsidR="007A0B11">
        <w:rPr>
          <w:rFonts w:ascii="Tahoma" w:hAnsi="Tahoma" w:cs="Tahoma"/>
          <w:i/>
          <w:iCs/>
          <w:sz w:val="20"/>
          <w:u w:val="single"/>
        </w:rPr>
        <w:t>Política de Investimentos</w:t>
      </w:r>
      <w:r w:rsidRPr="005A2CDA">
        <w:rPr>
          <w:rFonts w:ascii="Tahoma" w:hAnsi="Tahoma" w:cs="Tahoma"/>
          <w:sz w:val="20"/>
        </w:rPr>
        <w:t>: Será efetuada a regularização logo após identificação do</w:t>
      </w:r>
      <w:r>
        <w:rPr>
          <w:rFonts w:ascii="Tahoma" w:hAnsi="Tahoma" w:cs="Tahoma"/>
          <w:sz w:val="20"/>
        </w:rPr>
        <w:t xml:space="preserve"> </w:t>
      </w:r>
      <w:r w:rsidRPr="005A2CDA">
        <w:rPr>
          <w:rFonts w:ascii="Tahoma" w:hAnsi="Tahoma" w:cs="Tahoma"/>
          <w:sz w:val="20"/>
        </w:rPr>
        <w:t>descumprimento à legislação vigente, com movimentações dos recursos,</w:t>
      </w:r>
      <w:r>
        <w:rPr>
          <w:rFonts w:ascii="Tahoma" w:hAnsi="Tahoma" w:cs="Tahoma"/>
          <w:sz w:val="20"/>
        </w:rPr>
        <w:t xml:space="preserve"> </w:t>
      </w:r>
      <w:r w:rsidRPr="005A2CDA">
        <w:rPr>
          <w:rFonts w:ascii="Tahoma" w:hAnsi="Tahoma" w:cs="Tahoma"/>
          <w:sz w:val="20"/>
        </w:rPr>
        <w:t>observando o estabelecido no ite</w:t>
      </w:r>
      <w:r>
        <w:rPr>
          <w:rFonts w:ascii="Tahoma" w:hAnsi="Tahoma" w:cs="Tahoma"/>
          <w:sz w:val="20"/>
        </w:rPr>
        <w:t xml:space="preserve">m “Aspectos Legais”, nas </w:t>
      </w:r>
      <w:r w:rsidRPr="005A2CDA">
        <w:rPr>
          <w:rFonts w:ascii="Tahoma" w:hAnsi="Tahoma" w:cs="Tahoma"/>
          <w:sz w:val="20"/>
        </w:rPr>
        <w:t>Estratégias de Investimentos</w:t>
      </w:r>
      <w:r>
        <w:rPr>
          <w:rFonts w:ascii="Tahoma" w:hAnsi="Tahoma" w:cs="Tahoma"/>
          <w:sz w:val="20"/>
        </w:rPr>
        <w:t xml:space="preserve"> e</w:t>
      </w:r>
      <w:r w:rsidRPr="005A2CDA">
        <w:rPr>
          <w:rFonts w:ascii="Tahoma" w:hAnsi="Tahoma" w:cs="Tahoma"/>
          <w:sz w:val="20"/>
        </w:rPr>
        <w:t xml:space="preserve"> Vedações, visando evitar perda de</w:t>
      </w:r>
      <w:r>
        <w:rPr>
          <w:rFonts w:ascii="Tahoma" w:hAnsi="Tahoma" w:cs="Tahoma"/>
          <w:sz w:val="20"/>
        </w:rPr>
        <w:t xml:space="preserve"> </w:t>
      </w:r>
      <w:r w:rsidRPr="005A2CDA">
        <w:rPr>
          <w:rFonts w:ascii="Tahoma" w:hAnsi="Tahoma" w:cs="Tahoma"/>
          <w:sz w:val="20"/>
        </w:rPr>
        <w:t>rentabilidade ou exposição desnecessária a qualquer tipo de risco.</w:t>
      </w:r>
    </w:p>
    <w:p w:rsidR="00465C63" w:rsidRPr="005A2CDA" w:rsidRDefault="00465C63" w:rsidP="00AD12FB">
      <w:pPr>
        <w:spacing w:after="120"/>
        <w:ind w:firstLine="709"/>
        <w:jc w:val="both"/>
        <w:rPr>
          <w:rFonts w:ascii="Tahoma" w:hAnsi="Tahoma" w:cs="Tahoma"/>
          <w:sz w:val="20"/>
        </w:rPr>
      </w:pPr>
      <w:r w:rsidRPr="00E168FF">
        <w:rPr>
          <w:rFonts w:ascii="Tahoma" w:hAnsi="Tahoma" w:cs="Tahoma"/>
          <w:i/>
          <w:iCs/>
          <w:sz w:val="20"/>
          <w:u w:val="single"/>
        </w:rPr>
        <w:lastRenderedPageBreak/>
        <w:t xml:space="preserve">Excessiva exposição </w:t>
      </w:r>
      <w:r w:rsidR="005731B7">
        <w:rPr>
          <w:rFonts w:ascii="Tahoma" w:hAnsi="Tahoma" w:cs="Tahoma"/>
          <w:i/>
          <w:iCs/>
          <w:sz w:val="20"/>
          <w:u w:val="single"/>
        </w:rPr>
        <w:t>à</w:t>
      </w:r>
      <w:r w:rsidRPr="00E168FF">
        <w:rPr>
          <w:rFonts w:ascii="Tahoma" w:hAnsi="Tahoma" w:cs="Tahoma"/>
          <w:i/>
          <w:iCs/>
          <w:sz w:val="20"/>
          <w:u w:val="single"/>
        </w:rPr>
        <w:t xml:space="preserve"> riscos ou de potenciais perdas dos recursos</w:t>
      </w:r>
      <w:r w:rsidRPr="005A2CDA">
        <w:rPr>
          <w:rFonts w:ascii="Tahoma" w:hAnsi="Tahoma" w:cs="Tahoma"/>
          <w:sz w:val="20"/>
        </w:rPr>
        <w:t>: Caso os</w:t>
      </w:r>
      <w:r>
        <w:rPr>
          <w:rFonts w:ascii="Tahoma" w:hAnsi="Tahoma" w:cs="Tahoma"/>
          <w:sz w:val="20"/>
        </w:rPr>
        <w:t xml:space="preserve"> </w:t>
      </w:r>
      <w:r w:rsidRPr="005A2CDA">
        <w:rPr>
          <w:rFonts w:ascii="Tahoma" w:hAnsi="Tahoma" w:cs="Tahoma"/>
          <w:sz w:val="20"/>
        </w:rPr>
        <w:t>responsáveis pela gestão dos recursos do RPPS percebam a existência de</w:t>
      </w:r>
      <w:r>
        <w:rPr>
          <w:rFonts w:ascii="Tahoma" w:hAnsi="Tahoma" w:cs="Tahoma"/>
          <w:sz w:val="20"/>
        </w:rPr>
        <w:t xml:space="preserve"> </w:t>
      </w:r>
      <w:r w:rsidRPr="005A2CDA">
        <w:rPr>
          <w:rFonts w:ascii="Tahoma" w:hAnsi="Tahoma" w:cs="Tahoma"/>
          <w:sz w:val="20"/>
        </w:rPr>
        <w:t>fatores que possam aumentar a exposição do risco de mercado, de crédito e</w:t>
      </w:r>
      <w:r>
        <w:rPr>
          <w:rFonts w:ascii="Tahoma" w:hAnsi="Tahoma" w:cs="Tahoma"/>
          <w:sz w:val="20"/>
        </w:rPr>
        <w:t xml:space="preserve"> </w:t>
      </w:r>
      <w:r w:rsidRPr="005A2CDA">
        <w:rPr>
          <w:rFonts w:ascii="Tahoma" w:hAnsi="Tahoma" w:cs="Tahoma"/>
          <w:sz w:val="20"/>
        </w:rPr>
        <w:t>de liquidez, com potencial perda de recursos da carteira, será efetuada uma</w:t>
      </w:r>
      <w:r>
        <w:rPr>
          <w:rFonts w:ascii="Tahoma" w:hAnsi="Tahoma" w:cs="Tahoma"/>
          <w:sz w:val="20"/>
        </w:rPr>
        <w:t xml:space="preserve"> </w:t>
      </w:r>
      <w:r w:rsidRPr="005A2CDA">
        <w:rPr>
          <w:rFonts w:ascii="Tahoma" w:hAnsi="Tahoma" w:cs="Tahoma"/>
          <w:sz w:val="20"/>
        </w:rPr>
        <w:t>análise da carteira em reunião com os responsáveis diretos pelos</w:t>
      </w:r>
      <w:r>
        <w:rPr>
          <w:rFonts w:ascii="Tahoma" w:hAnsi="Tahoma" w:cs="Tahoma"/>
          <w:sz w:val="20"/>
        </w:rPr>
        <w:t xml:space="preserve"> </w:t>
      </w:r>
      <w:r w:rsidRPr="005A2CDA">
        <w:rPr>
          <w:rFonts w:ascii="Tahoma" w:hAnsi="Tahoma" w:cs="Tahoma"/>
          <w:sz w:val="20"/>
        </w:rPr>
        <w:t>investimentos do RPPS para avaliação do ajuste necessário.</w:t>
      </w:r>
    </w:p>
    <w:p w:rsidR="00465C63" w:rsidRDefault="00465C63" w:rsidP="00AD12FB">
      <w:pPr>
        <w:spacing w:after="120"/>
        <w:ind w:firstLine="709"/>
        <w:jc w:val="both"/>
        <w:rPr>
          <w:rFonts w:ascii="Tahoma" w:hAnsi="Tahoma" w:cs="Tahoma"/>
          <w:sz w:val="20"/>
        </w:rPr>
      </w:pPr>
      <w:r w:rsidRPr="00E168FF">
        <w:rPr>
          <w:rFonts w:ascii="Tahoma" w:hAnsi="Tahoma" w:cs="Tahoma"/>
          <w:i/>
          <w:iCs/>
          <w:sz w:val="20"/>
          <w:u w:val="single"/>
        </w:rPr>
        <w:t>Ultrapassado</w:t>
      </w:r>
      <w:r w:rsidR="005D3A43">
        <w:rPr>
          <w:rFonts w:ascii="Tahoma" w:hAnsi="Tahoma" w:cs="Tahoma"/>
          <w:i/>
          <w:iCs/>
          <w:sz w:val="20"/>
          <w:u w:val="single"/>
        </w:rPr>
        <w:t>s</w:t>
      </w:r>
      <w:r w:rsidRPr="00E168FF">
        <w:rPr>
          <w:rFonts w:ascii="Tahoma" w:hAnsi="Tahoma" w:cs="Tahoma"/>
          <w:i/>
          <w:iCs/>
          <w:sz w:val="20"/>
          <w:u w:val="single"/>
        </w:rPr>
        <w:t xml:space="preserve"> os limites de VOL e</w:t>
      </w:r>
      <w:r w:rsidR="009B0408">
        <w:rPr>
          <w:rFonts w:ascii="Tahoma" w:hAnsi="Tahoma" w:cs="Tahoma"/>
          <w:i/>
          <w:iCs/>
          <w:sz w:val="20"/>
          <w:u w:val="single"/>
        </w:rPr>
        <w:t>/ou</w:t>
      </w:r>
      <w:r w:rsidRPr="00E168FF">
        <w:rPr>
          <w:rFonts w:ascii="Tahoma" w:hAnsi="Tahoma" w:cs="Tahoma"/>
          <w:i/>
          <w:iCs/>
          <w:sz w:val="20"/>
          <w:u w:val="single"/>
        </w:rPr>
        <w:t xml:space="preserve"> VAR</w:t>
      </w:r>
      <w:r w:rsidR="009B0408">
        <w:rPr>
          <w:rFonts w:ascii="Tahoma" w:hAnsi="Tahoma" w:cs="Tahoma"/>
          <w:i/>
          <w:iCs/>
          <w:sz w:val="20"/>
          <w:u w:val="single"/>
        </w:rPr>
        <w:t xml:space="preserve"> (aceite de risco)</w:t>
      </w:r>
      <w:r w:rsidRPr="005A2CDA">
        <w:rPr>
          <w:rFonts w:ascii="Tahoma" w:hAnsi="Tahoma" w:cs="Tahoma"/>
          <w:sz w:val="20"/>
        </w:rPr>
        <w:t xml:space="preserve">: O gestor de recursos do </w:t>
      </w:r>
      <w:r w:rsidR="008F04AC">
        <w:rPr>
          <w:rFonts w:ascii="Tahoma" w:hAnsi="Tahoma" w:cs="Tahoma"/>
          <w:b/>
          <w:bCs/>
          <w:sz w:val="20"/>
        </w:rPr>
        <w:fldChar w:fldCharType="begin"/>
      </w:r>
      <w:r w:rsidR="00C01C06">
        <w:rPr>
          <w:rFonts w:ascii="Tahoma" w:hAnsi="Tahoma" w:cs="Tahoma"/>
          <w:b/>
          <w:bCs/>
          <w:sz w:val="20"/>
        </w:rPr>
        <w:instrText xml:space="preserve"> MERGEFIELD TP </w:instrText>
      </w:r>
      <w:r w:rsidR="008F04AC">
        <w:rPr>
          <w:rFonts w:ascii="Tahoma" w:hAnsi="Tahoma" w:cs="Tahoma"/>
          <w:b/>
          <w:bCs/>
          <w:sz w:val="20"/>
        </w:rPr>
        <w:fldChar w:fldCharType="separate"/>
      </w:r>
      <w:r w:rsidR="004A232E" w:rsidRPr="00BC514D">
        <w:rPr>
          <w:rFonts w:ascii="Tahoma" w:hAnsi="Tahoma" w:cs="Tahoma"/>
          <w:b/>
          <w:bCs/>
          <w:noProof/>
          <w:sz w:val="20"/>
        </w:rPr>
        <w:t>RPPS</w:t>
      </w:r>
      <w:r w:rsidR="008F04AC">
        <w:rPr>
          <w:rFonts w:ascii="Tahoma" w:hAnsi="Tahoma" w:cs="Tahoma"/>
          <w:b/>
          <w:bCs/>
          <w:sz w:val="20"/>
        </w:rPr>
        <w:fldChar w:fldCharType="end"/>
      </w:r>
      <w:r w:rsidRPr="005A2CDA">
        <w:rPr>
          <w:rFonts w:ascii="Tahoma" w:hAnsi="Tahoma" w:cs="Tahoma"/>
          <w:sz w:val="20"/>
        </w:rPr>
        <w:t xml:space="preserve"> deve</w:t>
      </w:r>
      <w:r>
        <w:rPr>
          <w:rFonts w:ascii="Tahoma" w:hAnsi="Tahoma" w:cs="Tahoma"/>
          <w:sz w:val="20"/>
        </w:rPr>
        <w:t xml:space="preserve"> </w:t>
      </w:r>
      <w:r w:rsidRPr="005A2CDA">
        <w:rPr>
          <w:rFonts w:ascii="Tahoma" w:hAnsi="Tahoma" w:cs="Tahoma"/>
          <w:sz w:val="20"/>
        </w:rPr>
        <w:t xml:space="preserve">convocar o </w:t>
      </w:r>
      <w:r w:rsidR="008F04AC">
        <w:rPr>
          <w:rFonts w:ascii="Tahoma" w:hAnsi="Tahoma" w:cs="Tahoma"/>
          <w:b/>
          <w:bCs/>
          <w:sz w:val="20"/>
        </w:rPr>
        <w:fldChar w:fldCharType="begin"/>
      </w:r>
      <w:r w:rsidR="00C01C06">
        <w:rPr>
          <w:rFonts w:ascii="Tahoma" w:hAnsi="Tahoma" w:cs="Tahoma"/>
          <w:b/>
          <w:bCs/>
          <w:sz w:val="20"/>
        </w:rPr>
        <w:instrText xml:space="preserve"> MERGEFIELD COMITÊ </w:instrText>
      </w:r>
      <w:r w:rsidR="008F04AC">
        <w:rPr>
          <w:rFonts w:ascii="Tahoma" w:hAnsi="Tahoma" w:cs="Tahoma"/>
          <w:b/>
          <w:bCs/>
          <w:sz w:val="20"/>
        </w:rPr>
        <w:fldChar w:fldCharType="separate"/>
      </w:r>
      <w:r w:rsidR="004A232E" w:rsidRPr="00BC514D">
        <w:rPr>
          <w:rFonts w:ascii="Tahoma" w:hAnsi="Tahoma" w:cs="Tahoma"/>
          <w:b/>
          <w:bCs/>
          <w:noProof/>
          <w:sz w:val="20"/>
        </w:rPr>
        <w:t>COMITÊ DE INVESTIMENTOS</w:t>
      </w:r>
      <w:r w:rsidR="008F04AC">
        <w:rPr>
          <w:rFonts w:ascii="Tahoma" w:hAnsi="Tahoma" w:cs="Tahoma"/>
          <w:b/>
          <w:bCs/>
          <w:sz w:val="20"/>
        </w:rPr>
        <w:fldChar w:fldCharType="end"/>
      </w:r>
      <w:r w:rsidRPr="005A2CDA">
        <w:rPr>
          <w:rFonts w:ascii="Tahoma" w:hAnsi="Tahoma" w:cs="Tahoma"/>
          <w:sz w:val="20"/>
        </w:rPr>
        <w:t xml:space="preserve">, em até </w:t>
      </w:r>
      <w:r w:rsidR="00891784">
        <w:rPr>
          <w:rFonts w:ascii="Tahoma" w:hAnsi="Tahoma" w:cs="Tahoma"/>
          <w:sz w:val="20"/>
        </w:rPr>
        <w:t>10</w:t>
      </w:r>
      <w:r w:rsidRPr="005A2CDA">
        <w:rPr>
          <w:rFonts w:ascii="Tahoma" w:hAnsi="Tahoma" w:cs="Tahoma"/>
          <w:sz w:val="20"/>
        </w:rPr>
        <w:t xml:space="preserve"> dias úteis da divulgação do último relatório</w:t>
      </w:r>
      <w:r w:rsidR="009B0408">
        <w:rPr>
          <w:rFonts w:ascii="Tahoma" w:hAnsi="Tahoma" w:cs="Tahoma"/>
          <w:sz w:val="20"/>
        </w:rPr>
        <w:t xml:space="preserve"> (relatório mensal ou trimestral de risco)</w:t>
      </w:r>
      <w:r w:rsidRPr="005A2CDA">
        <w:rPr>
          <w:rFonts w:ascii="Tahoma" w:hAnsi="Tahoma" w:cs="Tahoma"/>
          <w:sz w:val="20"/>
        </w:rPr>
        <w:t>, para</w:t>
      </w:r>
      <w:r>
        <w:rPr>
          <w:rFonts w:ascii="Tahoma" w:hAnsi="Tahoma" w:cs="Tahoma"/>
          <w:sz w:val="20"/>
        </w:rPr>
        <w:t xml:space="preserve"> </w:t>
      </w:r>
      <w:r w:rsidRPr="005A2CDA">
        <w:rPr>
          <w:rFonts w:ascii="Tahoma" w:hAnsi="Tahoma" w:cs="Tahoma"/>
          <w:sz w:val="20"/>
        </w:rPr>
        <w:t>definição das medidas necessárias para sanar o desenquadramento do risco</w:t>
      </w:r>
      <w:r>
        <w:rPr>
          <w:rFonts w:ascii="Tahoma" w:hAnsi="Tahoma" w:cs="Tahoma"/>
          <w:sz w:val="20"/>
        </w:rPr>
        <w:t xml:space="preserve"> </w:t>
      </w:r>
      <w:r w:rsidRPr="005A2CDA">
        <w:rPr>
          <w:rFonts w:ascii="Tahoma" w:hAnsi="Tahoma" w:cs="Tahoma"/>
          <w:sz w:val="20"/>
        </w:rPr>
        <w:t>estipulado</w:t>
      </w:r>
      <w:r>
        <w:rPr>
          <w:rFonts w:ascii="Tahoma" w:hAnsi="Tahoma" w:cs="Tahoma"/>
          <w:sz w:val="20"/>
        </w:rPr>
        <w:t xml:space="preserve">. Considerando o monitoramento dos investimentos. </w:t>
      </w:r>
    </w:p>
    <w:p w:rsidR="00465C63" w:rsidRDefault="00741B21" w:rsidP="00AD12FB">
      <w:pPr>
        <w:spacing w:after="120"/>
        <w:ind w:firstLine="709"/>
        <w:jc w:val="both"/>
        <w:rPr>
          <w:rFonts w:ascii="Tahoma" w:hAnsi="Tahoma" w:cs="Tahoma"/>
          <w:sz w:val="20"/>
        </w:rPr>
      </w:pPr>
      <w:r w:rsidRPr="00741B21">
        <w:rPr>
          <w:rFonts w:ascii="Tahoma" w:hAnsi="Tahoma" w:cs="Tahoma"/>
          <w:sz w:val="20"/>
        </w:rPr>
        <w:t xml:space="preserve">As contingências refletem fatos potenciais capazes de afetar o Patrimônio do RPPS e dependem da ocorrência ou não de inúmeros fenômenos. O modelo de plano adotado contempla a possibilidade diante da conjuntura atual dos recursos destinados ao fundo com base na análise histórica do RPPS. Não obstante, outras contingências podem vir a ocorrer e não terem sido objeto de previsão para o ano de </w:t>
      </w:r>
      <w:r w:rsidR="005D3A43">
        <w:rPr>
          <w:rFonts w:ascii="Tahoma" w:hAnsi="Tahoma" w:cs="Tahoma"/>
          <w:b/>
          <w:bCs/>
          <w:sz w:val="20"/>
        </w:rPr>
        <w:t>2025</w:t>
      </w:r>
      <w:r w:rsidRPr="00741B21">
        <w:rPr>
          <w:rFonts w:ascii="Tahoma" w:hAnsi="Tahoma" w:cs="Tahoma"/>
          <w:sz w:val="20"/>
        </w:rPr>
        <w:t>, devendo ser tratados conjuntamente pelo</w:t>
      </w:r>
      <w:r w:rsidR="009B0408">
        <w:rPr>
          <w:rFonts w:ascii="Tahoma" w:hAnsi="Tahoma" w:cs="Tahoma"/>
          <w:sz w:val="20"/>
        </w:rPr>
        <w:t xml:space="preserve">s gestores do </w:t>
      </w:r>
      <w:r w:rsidR="008F04AC">
        <w:rPr>
          <w:rFonts w:ascii="Tahoma" w:hAnsi="Tahoma" w:cs="Tahoma"/>
          <w:b/>
          <w:bCs/>
          <w:sz w:val="20"/>
        </w:rPr>
        <w:fldChar w:fldCharType="begin"/>
      </w:r>
      <w:r w:rsidR="009B0408">
        <w:rPr>
          <w:rFonts w:ascii="Tahoma" w:hAnsi="Tahoma" w:cs="Tahoma"/>
          <w:b/>
          <w:bCs/>
          <w:sz w:val="20"/>
        </w:rPr>
        <w:instrText xml:space="preserve"> MERGEFIELD TP </w:instrText>
      </w:r>
      <w:r w:rsidR="008F04AC">
        <w:rPr>
          <w:rFonts w:ascii="Tahoma" w:hAnsi="Tahoma" w:cs="Tahoma"/>
          <w:b/>
          <w:bCs/>
          <w:sz w:val="20"/>
        </w:rPr>
        <w:fldChar w:fldCharType="separate"/>
      </w:r>
      <w:r w:rsidR="004A232E" w:rsidRPr="00BC514D">
        <w:rPr>
          <w:rFonts w:ascii="Tahoma" w:hAnsi="Tahoma" w:cs="Tahoma"/>
          <w:b/>
          <w:bCs/>
          <w:noProof/>
          <w:sz w:val="20"/>
        </w:rPr>
        <w:t>RPPS</w:t>
      </w:r>
      <w:r w:rsidR="008F04AC">
        <w:rPr>
          <w:rFonts w:ascii="Tahoma" w:hAnsi="Tahoma" w:cs="Tahoma"/>
          <w:b/>
          <w:bCs/>
          <w:sz w:val="20"/>
        </w:rPr>
        <w:fldChar w:fldCharType="end"/>
      </w:r>
      <w:r w:rsidRPr="00741B21">
        <w:rPr>
          <w:rFonts w:ascii="Tahoma" w:hAnsi="Tahoma" w:cs="Tahoma"/>
          <w:sz w:val="20"/>
        </w:rPr>
        <w:t>.</w:t>
      </w:r>
    </w:p>
    <w:p w:rsidR="00AD12FB" w:rsidRDefault="00AD12FB">
      <w:r>
        <w:br w:type="page"/>
      </w:r>
    </w:p>
    <w:bookmarkStart w:id="31" w:name="_Toc181778175"/>
    <w:p w:rsidR="00465C63" w:rsidRPr="00E8601E" w:rsidRDefault="00AD12FB" w:rsidP="00A50E9C">
      <w:pPr>
        <w:spacing w:after="120"/>
        <w:jc w:val="both"/>
        <w:outlineLvl w:val="0"/>
        <w:rPr>
          <w:sz w:val="20"/>
        </w:rPr>
      </w:pPr>
      <w:r w:rsidRPr="00E4782B">
        <w:object w:dxaOrig="2425" w:dyaOrig="2598">
          <v:shape id="_x0000_i1069" type="#_x0000_t75" style="width:9.4pt;height:8.15pt" o:ole="">
            <v:imagedata r:id="rId8" o:title=""/>
          </v:shape>
          <o:OLEObject Type="Embed" ProgID="CorelDRAW.Graphic.13" ShapeID="_x0000_i1069" DrawAspect="Content" ObjectID="_1792498605" r:id="rId67"/>
        </w:object>
      </w:r>
      <w:r w:rsidR="00465C63" w:rsidRPr="00E8601E">
        <w:rPr>
          <w:rStyle w:val="Ttulo1Char"/>
          <w:sz w:val="22"/>
        </w:rPr>
        <w:t>DIRETRIZES PARA ALOCAÇÃO DOS RECURSOS</w:t>
      </w:r>
      <w:r w:rsidR="00465C63" w:rsidRPr="00E8601E">
        <w:rPr>
          <w:rFonts w:ascii="Tahoma" w:hAnsi="Tahoma" w:cs="Tahoma"/>
          <w:b/>
          <w:color w:val="002060"/>
          <w:szCs w:val="24"/>
        </w:rPr>
        <w:t xml:space="preserve"> </w:t>
      </w:r>
      <w:bookmarkEnd w:id="31"/>
      <w:r w:rsidR="00465C63" w:rsidRPr="00E8601E">
        <w:rPr>
          <w:sz w:val="20"/>
        </w:rPr>
        <w:object w:dxaOrig="3163" w:dyaOrig="3187">
          <v:shape id="_x0000_i1070" type="#_x0000_t75" style="width:21.9pt;height:23.15pt" o:ole="">
            <v:imagedata r:id="rId10" o:title=""/>
          </v:shape>
          <o:OLEObject Type="Embed" ProgID="CorelDRAW.Graphic.13" ShapeID="_x0000_i1070" DrawAspect="Content" ObjectID="_1792498606" r:id="rId68"/>
        </w:object>
      </w:r>
    </w:p>
    <w:p w:rsidR="00333690" w:rsidRDefault="00333690" w:rsidP="00A50E9C">
      <w:pPr>
        <w:pStyle w:val="Ttulo2"/>
        <w:spacing w:after="120"/>
        <w:rPr>
          <w:rFonts w:ascii="Tahoma" w:eastAsiaTheme="minorEastAsia" w:hAnsi="Tahoma" w:cs="Tahoma"/>
          <w:b/>
          <w:color w:val="auto"/>
          <w:sz w:val="20"/>
          <w:szCs w:val="22"/>
        </w:rPr>
      </w:pPr>
    </w:p>
    <w:p w:rsidR="00465C63" w:rsidRPr="00E8601E" w:rsidRDefault="00465C63" w:rsidP="00EC5FD6">
      <w:pPr>
        <w:pStyle w:val="Ttulo2"/>
        <w:spacing w:after="120"/>
        <w:rPr>
          <w:rFonts w:ascii="Tahoma" w:eastAsiaTheme="minorEastAsia" w:hAnsi="Tahoma" w:cs="Tahoma"/>
          <w:b/>
          <w:color w:val="auto"/>
          <w:sz w:val="20"/>
          <w:szCs w:val="22"/>
        </w:rPr>
      </w:pPr>
      <w:bookmarkStart w:id="32" w:name="_Toc181778176"/>
      <w:r w:rsidRPr="00E8601E">
        <w:rPr>
          <w:rFonts w:ascii="Tahoma" w:eastAsiaTheme="minorEastAsia" w:hAnsi="Tahoma" w:cs="Tahoma"/>
          <w:b/>
          <w:color w:val="auto"/>
          <w:sz w:val="20"/>
          <w:szCs w:val="22"/>
        </w:rPr>
        <w:t>Das Diretrizes</w:t>
      </w:r>
      <w:bookmarkEnd w:id="32"/>
    </w:p>
    <w:p w:rsidR="00465C63" w:rsidRPr="00E8601E" w:rsidRDefault="000D22E0" w:rsidP="00AD12FB">
      <w:pPr>
        <w:spacing w:after="120"/>
        <w:ind w:firstLine="709"/>
        <w:jc w:val="both"/>
        <w:rPr>
          <w:rFonts w:ascii="Tahoma" w:hAnsi="Tahoma" w:cs="Tahoma"/>
          <w:sz w:val="20"/>
        </w:rPr>
      </w:pPr>
      <w:r w:rsidRPr="000D22E0">
        <w:rPr>
          <w:rFonts w:ascii="Tahoma" w:hAnsi="Tahoma" w:cs="Tahoma"/>
          <w:sz w:val="20"/>
        </w:rPr>
        <w:t xml:space="preserve">Os cenários de investimento foram traçados a partir das perspectivas para o quadro nacional e internacional, da análise do panorama político e da visão para a condução da política econômica e do comportamento das </w:t>
      </w:r>
      <w:r w:rsidR="007A0B11">
        <w:rPr>
          <w:rFonts w:ascii="Tahoma" w:hAnsi="Tahoma" w:cs="Tahoma"/>
          <w:sz w:val="20"/>
        </w:rPr>
        <w:t>principais</w:t>
      </w:r>
      <w:r w:rsidRPr="000D22E0">
        <w:rPr>
          <w:rFonts w:ascii="Tahoma" w:hAnsi="Tahoma" w:cs="Tahoma"/>
          <w:sz w:val="20"/>
        </w:rPr>
        <w:t xml:space="preserve"> variáveis econômicas</w:t>
      </w:r>
      <w:r w:rsidR="00465C63" w:rsidRPr="00E8601E">
        <w:rPr>
          <w:rFonts w:ascii="Tahoma" w:hAnsi="Tahoma" w:cs="Tahoma"/>
          <w:sz w:val="20"/>
        </w:rPr>
        <w:t xml:space="preserve">. </w:t>
      </w:r>
    </w:p>
    <w:p w:rsidR="00465C63" w:rsidRPr="00BE6FCD" w:rsidRDefault="00A62EE9" w:rsidP="00AD12FB">
      <w:pPr>
        <w:spacing w:after="120"/>
        <w:ind w:firstLine="709"/>
        <w:jc w:val="both"/>
        <w:rPr>
          <w:rFonts w:ascii="Tahoma" w:hAnsi="Tahoma" w:cs="Tahoma"/>
          <w:sz w:val="20"/>
        </w:rPr>
      </w:pPr>
      <w:r>
        <w:rPr>
          <w:rFonts w:ascii="Tahoma" w:hAnsi="Tahoma" w:cs="Tahoma"/>
          <w:sz w:val="20"/>
        </w:rPr>
        <w:t>N</w:t>
      </w:r>
      <w:r w:rsidR="00465C63" w:rsidRPr="00E8601E">
        <w:rPr>
          <w:rFonts w:ascii="Tahoma" w:hAnsi="Tahoma" w:cs="Tahoma"/>
          <w:sz w:val="20"/>
        </w:rPr>
        <w:t xml:space="preserve">o modelo de gestão o respectivo </w:t>
      </w:r>
      <w:r w:rsidR="00F53C5D">
        <w:rPr>
          <w:rFonts w:ascii="Tahoma" w:hAnsi="Tahoma" w:cs="Tahoma"/>
          <w:sz w:val="20"/>
        </w:rPr>
        <w:t>Regime Próprio de Previdência Social</w:t>
      </w:r>
      <w:r w:rsidR="00465C63" w:rsidRPr="00E8601E">
        <w:rPr>
          <w:rFonts w:ascii="Tahoma" w:hAnsi="Tahoma" w:cs="Tahoma"/>
          <w:sz w:val="20"/>
        </w:rPr>
        <w:t xml:space="preserve"> deverá promover boas práticas de mercado. Isso inclui elevados padrões éticos na condução das operações relativas às aplicações </w:t>
      </w:r>
      <w:r w:rsidR="00465C63" w:rsidRPr="00BE6FCD">
        <w:rPr>
          <w:rFonts w:ascii="Tahoma" w:hAnsi="Tahoma" w:cs="Tahoma"/>
          <w:sz w:val="20"/>
        </w:rPr>
        <w:t>dos seus recursos, bem como</w:t>
      </w:r>
      <w:r w:rsidR="00C50758" w:rsidRPr="00BE6FCD">
        <w:rPr>
          <w:rFonts w:ascii="Tahoma" w:hAnsi="Tahoma" w:cs="Tahoma"/>
          <w:sz w:val="20"/>
        </w:rPr>
        <w:t>,</w:t>
      </w:r>
      <w:r w:rsidR="00465C63" w:rsidRPr="00BE6FCD">
        <w:rPr>
          <w:rFonts w:ascii="Tahoma" w:hAnsi="Tahoma" w:cs="Tahoma"/>
          <w:sz w:val="20"/>
        </w:rPr>
        <w:t xml:space="preserve"> eficiência nos procedimentos técnicos, operacionais e de controle das aplicações.</w:t>
      </w:r>
    </w:p>
    <w:p w:rsidR="00465C63" w:rsidRPr="00E8601E" w:rsidRDefault="00465C63" w:rsidP="00AD12FB">
      <w:pPr>
        <w:spacing w:after="120"/>
        <w:ind w:firstLine="709"/>
        <w:jc w:val="both"/>
        <w:rPr>
          <w:rFonts w:ascii="Tahoma" w:hAnsi="Tahoma" w:cs="Tahoma"/>
          <w:sz w:val="20"/>
        </w:rPr>
      </w:pPr>
      <w:r w:rsidRPr="00BE6FCD">
        <w:rPr>
          <w:rFonts w:ascii="Tahoma" w:hAnsi="Tahoma" w:cs="Tahoma"/>
          <w:sz w:val="20"/>
        </w:rPr>
        <w:t>Para atender a legislação estritamente, alguns procedimentos precis</w:t>
      </w:r>
      <w:r w:rsidR="00EB5A51" w:rsidRPr="00BE6FCD">
        <w:rPr>
          <w:rFonts w:ascii="Tahoma" w:hAnsi="Tahoma" w:cs="Tahoma"/>
          <w:sz w:val="20"/>
        </w:rPr>
        <w:t>ar</w:t>
      </w:r>
      <w:r w:rsidRPr="00BE6FCD">
        <w:rPr>
          <w:rFonts w:ascii="Tahoma" w:hAnsi="Tahoma" w:cs="Tahoma"/>
          <w:sz w:val="20"/>
        </w:rPr>
        <w:t xml:space="preserve">ão ser instituídos nos casos omissos e mantidos permanentemente. Dessa forma, o </w:t>
      </w:r>
      <w:r w:rsidR="007F6D14" w:rsidRPr="00BE6FCD">
        <w:rPr>
          <w:rFonts w:ascii="Tahoma" w:hAnsi="Tahoma" w:cs="Tahoma"/>
          <w:sz w:val="20"/>
        </w:rPr>
        <w:t>Comitê de Investimentos</w:t>
      </w:r>
      <w:r w:rsidRPr="00BE6FCD">
        <w:rPr>
          <w:rFonts w:ascii="Tahoma" w:hAnsi="Tahoma" w:cs="Tahoma"/>
          <w:sz w:val="20"/>
        </w:rPr>
        <w:t xml:space="preserve"> ou o órgão competente, com auxílio dos serviços especializados, deverá observar a OBRIGAÇÃO DE ELABORAR RELATÓRIOS DETALHADOS, no mínimo, trimestralmente, SOBRE A RENTABILIDADE</w:t>
      </w:r>
      <w:r w:rsidR="00C50758" w:rsidRPr="00BE6FCD">
        <w:rPr>
          <w:rFonts w:ascii="Tahoma" w:hAnsi="Tahoma" w:cs="Tahoma"/>
          <w:sz w:val="20"/>
        </w:rPr>
        <w:t xml:space="preserve"> e</w:t>
      </w:r>
      <w:r w:rsidRPr="00BE6FCD">
        <w:rPr>
          <w:rFonts w:ascii="Tahoma" w:hAnsi="Tahoma" w:cs="Tahoma"/>
          <w:sz w:val="20"/>
        </w:rPr>
        <w:t xml:space="preserve"> OS RISCOS das diversas modalidades de operações realizadas nas aplicações dos recursos do RPPS e a aderência à política anual de investimentos e suas revisões e submetê-los às instâncias superiores de deliberação e controle. Com isso, busca assegurar-se do desempenho positivo de qualquer entidade</w:t>
      </w:r>
      <w:r w:rsidRPr="00E8601E">
        <w:rPr>
          <w:rFonts w:ascii="Tahoma" w:hAnsi="Tahoma" w:cs="Tahoma"/>
          <w:sz w:val="20"/>
        </w:rPr>
        <w:t xml:space="preserve"> que mantiver relação de prestação de serviços e ou consultoria ao RPPS nas operações de aplicação dos recursos do </w:t>
      </w:r>
      <w:r w:rsidR="008F04AC">
        <w:rPr>
          <w:rFonts w:ascii="Tahoma" w:hAnsi="Tahoma" w:cs="Tahoma"/>
          <w:b/>
          <w:bCs/>
          <w:sz w:val="20"/>
        </w:rPr>
        <w:fldChar w:fldCharType="begin"/>
      </w:r>
      <w:r w:rsidR="000D22E0">
        <w:rPr>
          <w:rFonts w:ascii="Tahoma" w:hAnsi="Tahoma" w:cs="Tahoma"/>
          <w:b/>
          <w:bCs/>
          <w:sz w:val="20"/>
        </w:rPr>
        <w:instrText xml:space="preserve"> MERGEFIELD TP </w:instrText>
      </w:r>
      <w:r w:rsidR="008F04AC">
        <w:rPr>
          <w:rFonts w:ascii="Tahoma" w:hAnsi="Tahoma" w:cs="Tahoma"/>
          <w:b/>
          <w:bCs/>
          <w:sz w:val="20"/>
        </w:rPr>
        <w:fldChar w:fldCharType="separate"/>
      </w:r>
      <w:r w:rsidR="004A232E" w:rsidRPr="00BC514D">
        <w:rPr>
          <w:rFonts w:ascii="Tahoma" w:hAnsi="Tahoma" w:cs="Tahoma"/>
          <w:b/>
          <w:bCs/>
          <w:noProof/>
          <w:sz w:val="20"/>
        </w:rPr>
        <w:t>RPPS</w:t>
      </w:r>
      <w:r w:rsidR="008F04AC">
        <w:rPr>
          <w:rFonts w:ascii="Tahoma" w:hAnsi="Tahoma" w:cs="Tahoma"/>
          <w:b/>
          <w:bCs/>
          <w:sz w:val="20"/>
        </w:rPr>
        <w:fldChar w:fldCharType="end"/>
      </w:r>
      <w:r w:rsidRPr="00E8601E">
        <w:rPr>
          <w:rFonts w:ascii="Tahoma" w:hAnsi="Tahoma" w:cs="Tahoma"/>
          <w:sz w:val="20"/>
        </w:rPr>
        <w:t>.</w:t>
      </w:r>
    </w:p>
    <w:p w:rsidR="00465C63" w:rsidRPr="00344EA0" w:rsidRDefault="006730ED" w:rsidP="00AD12FB">
      <w:pPr>
        <w:spacing w:after="120"/>
        <w:ind w:firstLine="709"/>
        <w:jc w:val="both"/>
        <w:rPr>
          <w:rFonts w:ascii="Tahoma" w:hAnsi="Tahoma" w:cs="Tahoma"/>
          <w:sz w:val="20"/>
        </w:rPr>
      </w:pPr>
      <w:r w:rsidRPr="006730ED">
        <w:rPr>
          <w:rFonts w:ascii="Tahoma" w:hAnsi="Tahoma" w:cs="Tahoma"/>
          <w:sz w:val="20"/>
        </w:rPr>
        <w:t xml:space="preserve">Sempre, no modelo de gestão própria, antes da realização de qualquer operação, o RPPS deverá realizar o prévio cadastramento das instituições escolhidas para receber as aplicações, </w:t>
      </w:r>
      <w:r w:rsidRPr="00946F98">
        <w:rPr>
          <w:rFonts w:ascii="Tahoma" w:hAnsi="Tahoma" w:cs="Tahoma"/>
          <w:b/>
          <w:bCs/>
          <w:sz w:val="20"/>
        </w:rPr>
        <w:t xml:space="preserve">conforme </w:t>
      </w:r>
      <w:r w:rsidR="00D31186" w:rsidRPr="00946F98">
        <w:rPr>
          <w:rFonts w:ascii="Tahoma" w:hAnsi="Tahoma" w:cs="Tahoma"/>
          <w:b/>
          <w:bCs/>
          <w:sz w:val="20"/>
        </w:rPr>
        <w:t xml:space="preserve">Art. 103 da </w:t>
      </w:r>
      <w:r w:rsidR="00946F98" w:rsidRPr="00946F98">
        <w:rPr>
          <w:rFonts w:ascii="Tahoma" w:hAnsi="Tahoma" w:cs="Tahoma"/>
          <w:b/>
          <w:bCs/>
          <w:sz w:val="20"/>
        </w:rPr>
        <w:t>Portaria</w:t>
      </w:r>
      <w:r w:rsidR="0020251E" w:rsidRPr="00946F98">
        <w:rPr>
          <w:rFonts w:ascii="Tahoma" w:hAnsi="Tahoma" w:cs="Tahoma"/>
          <w:b/>
          <w:bCs/>
          <w:sz w:val="20"/>
        </w:rPr>
        <w:t xml:space="preserve"> MTP </w:t>
      </w:r>
      <w:r w:rsidR="00946F98" w:rsidRPr="00946F98">
        <w:rPr>
          <w:rFonts w:ascii="Tahoma" w:hAnsi="Tahoma" w:cs="Tahoma"/>
          <w:b/>
          <w:bCs/>
          <w:sz w:val="20"/>
        </w:rPr>
        <w:t>n</w:t>
      </w:r>
      <w:r w:rsidR="0020251E" w:rsidRPr="00946F98">
        <w:rPr>
          <w:rFonts w:ascii="Tahoma" w:hAnsi="Tahoma" w:cs="Tahoma"/>
          <w:b/>
          <w:bCs/>
          <w:sz w:val="20"/>
        </w:rPr>
        <w:t xml:space="preserve">º 1.467, </w:t>
      </w:r>
      <w:r w:rsidR="00946F98">
        <w:rPr>
          <w:rFonts w:ascii="Tahoma" w:hAnsi="Tahoma" w:cs="Tahoma"/>
          <w:b/>
          <w:bCs/>
          <w:sz w:val="20"/>
        </w:rPr>
        <w:t>de</w:t>
      </w:r>
      <w:r w:rsidR="0020251E" w:rsidRPr="00946F98">
        <w:rPr>
          <w:rFonts w:ascii="Tahoma" w:hAnsi="Tahoma" w:cs="Tahoma"/>
          <w:b/>
          <w:bCs/>
          <w:sz w:val="20"/>
        </w:rPr>
        <w:t xml:space="preserve"> 02 </w:t>
      </w:r>
      <w:r w:rsidR="00946F98">
        <w:rPr>
          <w:rFonts w:ascii="Tahoma" w:hAnsi="Tahoma" w:cs="Tahoma"/>
          <w:b/>
          <w:bCs/>
          <w:sz w:val="20"/>
        </w:rPr>
        <w:t>de</w:t>
      </w:r>
      <w:r w:rsidR="0020251E" w:rsidRPr="00946F98">
        <w:rPr>
          <w:rFonts w:ascii="Tahoma" w:hAnsi="Tahoma" w:cs="Tahoma"/>
          <w:b/>
          <w:bCs/>
          <w:sz w:val="20"/>
        </w:rPr>
        <w:t xml:space="preserve"> </w:t>
      </w:r>
      <w:r w:rsidR="00946F98">
        <w:rPr>
          <w:rFonts w:ascii="Tahoma" w:hAnsi="Tahoma" w:cs="Tahoma"/>
          <w:b/>
          <w:bCs/>
          <w:sz w:val="20"/>
        </w:rPr>
        <w:t>junho</w:t>
      </w:r>
      <w:r w:rsidR="0020251E" w:rsidRPr="00946F98">
        <w:rPr>
          <w:rFonts w:ascii="Tahoma" w:hAnsi="Tahoma" w:cs="Tahoma"/>
          <w:b/>
          <w:bCs/>
          <w:sz w:val="20"/>
        </w:rPr>
        <w:t xml:space="preserve"> </w:t>
      </w:r>
      <w:r w:rsidR="00946F98">
        <w:rPr>
          <w:rFonts w:ascii="Tahoma" w:hAnsi="Tahoma" w:cs="Tahoma"/>
          <w:b/>
          <w:bCs/>
          <w:sz w:val="20"/>
        </w:rPr>
        <w:t>de</w:t>
      </w:r>
      <w:r w:rsidR="0020251E" w:rsidRPr="00946F98">
        <w:rPr>
          <w:rFonts w:ascii="Tahoma" w:hAnsi="Tahoma" w:cs="Tahoma"/>
          <w:b/>
          <w:bCs/>
          <w:sz w:val="20"/>
        </w:rPr>
        <w:t xml:space="preserve"> 2022</w:t>
      </w:r>
      <w:r w:rsidRPr="006730ED">
        <w:rPr>
          <w:rFonts w:ascii="Tahoma" w:hAnsi="Tahoma" w:cs="Tahoma"/>
          <w:sz w:val="20"/>
        </w:rPr>
        <w:t>.</w:t>
      </w:r>
      <w:r w:rsidR="00465C63" w:rsidRPr="00E8601E">
        <w:rPr>
          <w:rFonts w:ascii="Tahoma" w:hAnsi="Tahoma" w:cs="Tahoma"/>
          <w:sz w:val="20"/>
        </w:rPr>
        <w:t xml:space="preserve"> </w:t>
      </w:r>
      <w:r w:rsidR="00E03567">
        <w:rPr>
          <w:rFonts w:ascii="Tahoma" w:hAnsi="Tahoma" w:cs="Tahoma"/>
          <w:sz w:val="20"/>
        </w:rPr>
        <w:t xml:space="preserve">Colocamos, mais a frente, um tópico sobre o credenciamento. </w:t>
      </w:r>
    </w:p>
    <w:p w:rsidR="00465C63" w:rsidRDefault="00465C63" w:rsidP="00AD12FB">
      <w:pPr>
        <w:spacing w:after="120"/>
        <w:ind w:firstLine="709"/>
        <w:jc w:val="both"/>
        <w:rPr>
          <w:rFonts w:ascii="Tahoma" w:hAnsi="Tahoma" w:cs="Tahoma"/>
          <w:sz w:val="20"/>
        </w:rPr>
      </w:pPr>
      <w:r w:rsidRPr="00344EA0">
        <w:rPr>
          <w:rFonts w:ascii="Tahoma" w:hAnsi="Tahoma" w:cs="Tahoma"/>
          <w:sz w:val="20"/>
        </w:rPr>
        <w:t xml:space="preserve">O </w:t>
      </w:r>
      <w:r w:rsidR="008F04AC">
        <w:rPr>
          <w:rFonts w:ascii="Tahoma" w:hAnsi="Tahoma" w:cs="Tahoma"/>
          <w:b/>
          <w:noProof/>
          <w:sz w:val="20"/>
        </w:rPr>
        <w:fldChar w:fldCharType="begin"/>
      </w:r>
      <w:r w:rsidR="002670EA">
        <w:rPr>
          <w:rFonts w:ascii="Tahoma" w:hAnsi="Tahoma" w:cs="Tahoma"/>
          <w:b/>
          <w:noProof/>
          <w:sz w:val="20"/>
        </w:rPr>
        <w:instrText xml:space="preserve"> MERGEFIELD NOME_DO_FUNDO </w:instrText>
      </w:r>
      <w:r w:rsidR="008F04AC">
        <w:rPr>
          <w:rFonts w:ascii="Tahoma" w:hAnsi="Tahoma" w:cs="Tahoma"/>
          <w:b/>
          <w:noProof/>
          <w:sz w:val="20"/>
        </w:rPr>
        <w:fldChar w:fldCharType="separate"/>
      </w:r>
      <w:r w:rsidR="004A232E" w:rsidRPr="00BC514D">
        <w:rPr>
          <w:rFonts w:ascii="Tahoma" w:hAnsi="Tahoma" w:cs="Tahoma"/>
          <w:b/>
          <w:noProof/>
          <w:sz w:val="20"/>
        </w:rPr>
        <w:t>REGIME PRÓPRIO DE PREVIDÊNCIA DO SERVIDOR DE ENTRE-IJUÍS</w:t>
      </w:r>
      <w:r w:rsidR="008F04AC">
        <w:rPr>
          <w:rFonts w:ascii="Tahoma" w:hAnsi="Tahoma" w:cs="Tahoma"/>
          <w:b/>
          <w:noProof/>
          <w:sz w:val="20"/>
        </w:rPr>
        <w:fldChar w:fldCharType="end"/>
      </w:r>
      <w:r w:rsidRPr="00903574">
        <w:rPr>
          <w:rFonts w:ascii="Tahoma" w:hAnsi="Tahoma" w:cs="Tahoma"/>
          <w:b/>
          <w:sz w:val="20"/>
        </w:rPr>
        <w:t xml:space="preserve"> </w:t>
      </w:r>
      <w:r w:rsidRPr="00344EA0">
        <w:rPr>
          <w:rFonts w:ascii="Tahoma" w:hAnsi="Tahoma" w:cs="Tahoma"/>
          <w:sz w:val="20"/>
        </w:rPr>
        <w:t>deverá manter</w:t>
      </w:r>
      <w:r w:rsidR="000D22E0">
        <w:rPr>
          <w:rFonts w:ascii="Tahoma" w:hAnsi="Tahoma" w:cs="Tahoma"/>
          <w:sz w:val="20"/>
        </w:rPr>
        <w:t xml:space="preserve"> o</w:t>
      </w:r>
      <w:r w:rsidRPr="00344EA0">
        <w:rPr>
          <w:rFonts w:ascii="Tahoma" w:hAnsi="Tahoma" w:cs="Tahoma"/>
          <w:sz w:val="20"/>
        </w:rPr>
        <w:t xml:space="preserve"> </w:t>
      </w:r>
      <w:r w:rsidR="007F6D14">
        <w:rPr>
          <w:rFonts w:ascii="Tahoma" w:hAnsi="Tahoma" w:cs="Tahoma"/>
          <w:sz w:val="20"/>
        </w:rPr>
        <w:t>Comitê de Investimentos</w:t>
      </w:r>
      <w:r w:rsidRPr="00344EA0">
        <w:rPr>
          <w:rFonts w:ascii="Tahoma" w:hAnsi="Tahoma" w:cs="Tahoma"/>
          <w:sz w:val="20"/>
        </w:rPr>
        <w:t xml:space="preserve"> dos seus respectivos recursos, como órgão </w:t>
      </w:r>
      <w:r>
        <w:rPr>
          <w:rFonts w:ascii="Tahoma" w:hAnsi="Tahoma" w:cs="Tahoma"/>
          <w:sz w:val="20"/>
        </w:rPr>
        <w:t>participativo</w:t>
      </w:r>
      <w:r w:rsidRPr="00344EA0">
        <w:rPr>
          <w:rFonts w:ascii="Tahoma" w:hAnsi="Tahoma" w:cs="Tahoma"/>
          <w:sz w:val="20"/>
        </w:rPr>
        <w:t xml:space="preserve"> no processo decisório quanto à execução da </w:t>
      </w:r>
      <w:r w:rsidR="007A0B11">
        <w:rPr>
          <w:rFonts w:ascii="Tahoma" w:hAnsi="Tahoma" w:cs="Tahoma"/>
          <w:sz w:val="20"/>
        </w:rPr>
        <w:t>Política de Investimentos</w:t>
      </w:r>
      <w:r w:rsidRPr="00344EA0">
        <w:rPr>
          <w:rFonts w:ascii="Tahoma" w:hAnsi="Tahoma" w:cs="Tahoma"/>
          <w:sz w:val="20"/>
        </w:rPr>
        <w:t>, cujas decisões serão registradas</w:t>
      </w:r>
      <w:r w:rsidRPr="00E8601E">
        <w:rPr>
          <w:rFonts w:ascii="Tahoma" w:hAnsi="Tahoma" w:cs="Tahoma"/>
          <w:sz w:val="20"/>
        </w:rPr>
        <w:t xml:space="preserve"> em ata. O </w:t>
      </w:r>
      <w:r w:rsidR="007F6D14">
        <w:rPr>
          <w:rFonts w:ascii="Tahoma" w:hAnsi="Tahoma" w:cs="Tahoma"/>
          <w:sz w:val="20"/>
        </w:rPr>
        <w:t>Comitê de Investimentos</w:t>
      </w:r>
      <w:r w:rsidRPr="00E8601E">
        <w:rPr>
          <w:rFonts w:ascii="Tahoma" w:hAnsi="Tahoma" w:cs="Tahoma"/>
          <w:sz w:val="20"/>
        </w:rPr>
        <w:t xml:space="preserve"> precisa ter se originado de ato normativo prevendo a sua estrutura, composição e funcionamento, respeitada a exigência de que seus membros mantenham vínculo com o RPPS, na forma definida </w:t>
      </w:r>
      <w:r w:rsidR="0020251E">
        <w:rPr>
          <w:rFonts w:ascii="Tahoma" w:hAnsi="Tahoma" w:cs="Tahoma"/>
          <w:sz w:val="20"/>
        </w:rPr>
        <w:t>na P</w:t>
      </w:r>
      <w:r w:rsidR="00946F98">
        <w:rPr>
          <w:rFonts w:ascii="Tahoma" w:hAnsi="Tahoma" w:cs="Tahoma"/>
          <w:sz w:val="20"/>
        </w:rPr>
        <w:t>ortaria</w:t>
      </w:r>
      <w:r w:rsidR="0020251E">
        <w:rPr>
          <w:rFonts w:ascii="Tahoma" w:hAnsi="Tahoma" w:cs="Tahoma"/>
          <w:sz w:val="20"/>
        </w:rPr>
        <w:t xml:space="preserve"> MTP </w:t>
      </w:r>
      <w:r w:rsidR="00946F98">
        <w:rPr>
          <w:rFonts w:ascii="Tahoma" w:hAnsi="Tahoma" w:cs="Tahoma"/>
          <w:sz w:val="20"/>
        </w:rPr>
        <w:t>n</w:t>
      </w:r>
      <w:r w:rsidR="0020251E">
        <w:rPr>
          <w:rFonts w:ascii="Tahoma" w:hAnsi="Tahoma" w:cs="Tahoma"/>
          <w:sz w:val="20"/>
        </w:rPr>
        <w:t xml:space="preserve">º 1.467, </w:t>
      </w:r>
      <w:r w:rsidR="00946F98">
        <w:rPr>
          <w:rFonts w:ascii="Tahoma" w:hAnsi="Tahoma" w:cs="Tahoma"/>
          <w:sz w:val="20"/>
        </w:rPr>
        <w:t>de</w:t>
      </w:r>
      <w:r w:rsidR="0020251E">
        <w:rPr>
          <w:rFonts w:ascii="Tahoma" w:hAnsi="Tahoma" w:cs="Tahoma"/>
          <w:sz w:val="20"/>
        </w:rPr>
        <w:t xml:space="preserve"> 02 </w:t>
      </w:r>
      <w:r w:rsidR="00946F98">
        <w:rPr>
          <w:rFonts w:ascii="Tahoma" w:hAnsi="Tahoma" w:cs="Tahoma"/>
          <w:sz w:val="20"/>
        </w:rPr>
        <w:t>de</w:t>
      </w:r>
      <w:r w:rsidR="0020251E">
        <w:rPr>
          <w:rFonts w:ascii="Tahoma" w:hAnsi="Tahoma" w:cs="Tahoma"/>
          <w:sz w:val="20"/>
        </w:rPr>
        <w:t xml:space="preserve"> </w:t>
      </w:r>
      <w:r w:rsidR="00946F98">
        <w:rPr>
          <w:rFonts w:ascii="Tahoma" w:hAnsi="Tahoma" w:cs="Tahoma"/>
          <w:sz w:val="20"/>
        </w:rPr>
        <w:t>junho de</w:t>
      </w:r>
      <w:r w:rsidR="0020251E">
        <w:rPr>
          <w:rFonts w:ascii="Tahoma" w:hAnsi="Tahoma" w:cs="Tahoma"/>
          <w:sz w:val="20"/>
        </w:rPr>
        <w:t xml:space="preserve"> 2022</w:t>
      </w:r>
      <w:r w:rsidRPr="00E8601E">
        <w:rPr>
          <w:rFonts w:ascii="Tahoma" w:hAnsi="Tahoma" w:cs="Tahoma"/>
          <w:sz w:val="20"/>
        </w:rPr>
        <w:t xml:space="preserve">. O </w:t>
      </w:r>
      <w:r w:rsidR="007F6D14">
        <w:rPr>
          <w:rFonts w:ascii="Tahoma" w:hAnsi="Tahoma" w:cs="Tahoma"/>
          <w:sz w:val="20"/>
        </w:rPr>
        <w:t>Comitê de Investimentos</w:t>
      </w:r>
      <w:r w:rsidRPr="00E8601E">
        <w:rPr>
          <w:rFonts w:ascii="Tahoma" w:hAnsi="Tahoma" w:cs="Tahoma"/>
          <w:sz w:val="20"/>
        </w:rPr>
        <w:t xml:space="preserve"> deverá</w:t>
      </w:r>
      <w:r>
        <w:rPr>
          <w:rFonts w:ascii="Tahoma" w:hAnsi="Tahoma" w:cs="Tahoma"/>
          <w:sz w:val="20"/>
        </w:rPr>
        <w:t xml:space="preserve"> </w:t>
      </w:r>
      <w:r w:rsidRPr="002A084B">
        <w:rPr>
          <w:rFonts w:ascii="Tahoma" w:hAnsi="Tahoma" w:cs="Tahoma"/>
          <w:sz w:val="20"/>
        </w:rPr>
        <w:t xml:space="preserve">adequar-se às obrigatoriedades da Portaria nº 9.907, de 14 de abril de 2020, em relação ao </w:t>
      </w:r>
      <w:r w:rsidRPr="002A084B">
        <w:rPr>
          <w:rFonts w:ascii="Tahoma" w:hAnsi="Tahoma" w:cs="Tahoma"/>
          <w:b/>
          <w:bCs/>
          <w:sz w:val="20"/>
        </w:rPr>
        <w:t>Art. 8º-B, da Lei nº 9.717, de 1998</w:t>
      </w:r>
      <w:r w:rsidRPr="00E8601E">
        <w:rPr>
          <w:rFonts w:ascii="Tahoma" w:hAnsi="Tahoma" w:cs="Tahoma"/>
          <w:sz w:val="20"/>
        </w:rPr>
        <w:t xml:space="preserve">. </w:t>
      </w:r>
    </w:p>
    <w:p w:rsidR="00465C63" w:rsidRDefault="00465C63" w:rsidP="00AD12FB">
      <w:pPr>
        <w:spacing w:after="120"/>
        <w:ind w:firstLine="709"/>
        <w:jc w:val="both"/>
        <w:rPr>
          <w:rFonts w:ascii="Tahoma" w:hAnsi="Tahoma" w:cs="Tahoma"/>
          <w:sz w:val="20"/>
        </w:rPr>
      </w:pPr>
    </w:p>
    <w:p w:rsidR="00465C63" w:rsidRPr="000C021C" w:rsidRDefault="00465C63" w:rsidP="000C021C">
      <w:pPr>
        <w:pStyle w:val="Ttulo2"/>
        <w:rPr>
          <w:rFonts w:ascii="Tahoma" w:hAnsi="Tahoma" w:cs="Tahoma"/>
          <w:b/>
          <w:color w:val="auto"/>
          <w:sz w:val="20"/>
        </w:rPr>
      </w:pPr>
      <w:bookmarkStart w:id="33" w:name="_Toc181778177"/>
      <w:r w:rsidRPr="000C021C">
        <w:rPr>
          <w:rFonts w:ascii="Tahoma" w:hAnsi="Tahoma" w:cs="Tahoma"/>
          <w:b/>
          <w:color w:val="auto"/>
          <w:sz w:val="20"/>
        </w:rPr>
        <w:t>Competência dos Órgãos envolvidos na Gestão dos recursos do RPPS</w:t>
      </w:r>
      <w:bookmarkEnd w:id="33"/>
    </w:p>
    <w:p w:rsidR="00465C63" w:rsidRPr="00E8601E" w:rsidRDefault="00465C63" w:rsidP="00AD12FB">
      <w:pPr>
        <w:spacing w:after="120"/>
        <w:ind w:firstLine="709"/>
        <w:jc w:val="both"/>
        <w:rPr>
          <w:rFonts w:ascii="Tahoma" w:hAnsi="Tahoma" w:cs="Tahoma"/>
          <w:sz w:val="20"/>
        </w:rPr>
      </w:pPr>
      <w:r w:rsidRPr="00E8601E">
        <w:rPr>
          <w:rFonts w:ascii="Tahoma" w:hAnsi="Tahoma" w:cs="Tahoma"/>
          <w:sz w:val="20"/>
        </w:rPr>
        <w:t xml:space="preserve">Os órgãos envolvidos na gestão são: </w:t>
      </w:r>
      <w:r w:rsidR="008F04AC">
        <w:rPr>
          <w:rFonts w:ascii="Tahoma" w:hAnsi="Tahoma" w:cs="Tahoma"/>
          <w:noProof/>
          <w:sz w:val="20"/>
        </w:rPr>
        <w:fldChar w:fldCharType="begin"/>
      </w:r>
      <w:r w:rsidR="002670EA">
        <w:rPr>
          <w:rFonts w:ascii="Tahoma" w:hAnsi="Tahoma" w:cs="Tahoma"/>
          <w:noProof/>
          <w:sz w:val="20"/>
        </w:rPr>
        <w:instrText xml:space="preserve"> MERGEFIELD CONSELHO </w:instrText>
      </w:r>
      <w:r w:rsidR="008F04AC">
        <w:rPr>
          <w:rFonts w:ascii="Tahoma" w:hAnsi="Tahoma" w:cs="Tahoma"/>
          <w:noProof/>
          <w:sz w:val="20"/>
        </w:rPr>
        <w:fldChar w:fldCharType="separate"/>
      </w:r>
      <w:r w:rsidR="004A232E" w:rsidRPr="00BC514D">
        <w:rPr>
          <w:rFonts w:ascii="Tahoma" w:hAnsi="Tahoma" w:cs="Tahoma"/>
          <w:noProof/>
          <w:sz w:val="20"/>
        </w:rPr>
        <w:t>CONSELHO DO REGIME PRÓPRIO DE PREVIDÊNCIA DE ENTRE-IJUÍS</w:t>
      </w:r>
      <w:r w:rsidR="008F04AC">
        <w:rPr>
          <w:rFonts w:ascii="Tahoma" w:hAnsi="Tahoma" w:cs="Tahoma"/>
          <w:noProof/>
          <w:sz w:val="20"/>
        </w:rPr>
        <w:fldChar w:fldCharType="end"/>
      </w:r>
      <w:r>
        <w:rPr>
          <w:rFonts w:ascii="Tahoma" w:hAnsi="Tahoma" w:cs="Tahoma"/>
          <w:sz w:val="20"/>
        </w:rPr>
        <w:t xml:space="preserve"> e</w:t>
      </w:r>
      <w:r w:rsidRPr="00E8601E">
        <w:rPr>
          <w:rFonts w:ascii="Tahoma" w:hAnsi="Tahoma" w:cs="Tahoma"/>
          <w:sz w:val="20"/>
        </w:rPr>
        <w:t xml:space="preserve"> o </w:t>
      </w:r>
      <w:r w:rsidR="008F04AC">
        <w:rPr>
          <w:rFonts w:ascii="Tahoma" w:hAnsi="Tahoma" w:cs="Tahoma"/>
          <w:noProof/>
          <w:sz w:val="20"/>
        </w:rPr>
        <w:fldChar w:fldCharType="begin"/>
      </w:r>
      <w:r w:rsidR="002670EA">
        <w:rPr>
          <w:rFonts w:ascii="Tahoma" w:hAnsi="Tahoma" w:cs="Tahoma"/>
          <w:noProof/>
          <w:sz w:val="20"/>
        </w:rPr>
        <w:instrText xml:space="preserve"> MERGEFIELD COMITÊ </w:instrText>
      </w:r>
      <w:r w:rsidR="008F04AC">
        <w:rPr>
          <w:rFonts w:ascii="Tahoma" w:hAnsi="Tahoma" w:cs="Tahoma"/>
          <w:noProof/>
          <w:sz w:val="20"/>
        </w:rPr>
        <w:fldChar w:fldCharType="separate"/>
      </w:r>
      <w:r w:rsidR="004A232E" w:rsidRPr="00BC514D">
        <w:rPr>
          <w:rFonts w:ascii="Tahoma" w:hAnsi="Tahoma" w:cs="Tahoma"/>
          <w:noProof/>
          <w:sz w:val="20"/>
        </w:rPr>
        <w:t>COMITÊ DE INVESTIMENTOS</w:t>
      </w:r>
      <w:r w:rsidR="008F04AC">
        <w:rPr>
          <w:rFonts w:ascii="Tahoma" w:hAnsi="Tahoma" w:cs="Tahoma"/>
          <w:noProof/>
          <w:sz w:val="20"/>
        </w:rPr>
        <w:fldChar w:fldCharType="end"/>
      </w:r>
      <w:r w:rsidRPr="00E8601E">
        <w:rPr>
          <w:rFonts w:ascii="Tahoma" w:hAnsi="Tahoma" w:cs="Tahoma"/>
          <w:sz w:val="20"/>
        </w:rPr>
        <w:t xml:space="preserve">. No que diz a respeito à elaboração e implementação da </w:t>
      </w:r>
      <w:r w:rsidR="007A0B11">
        <w:rPr>
          <w:rFonts w:ascii="Tahoma" w:hAnsi="Tahoma" w:cs="Tahoma"/>
          <w:sz w:val="20"/>
        </w:rPr>
        <w:t>Política de Investimentos</w:t>
      </w:r>
      <w:r w:rsidRPr="00E8601E">
        <w:rPr>
          <w:rFonts w:ascii="Tahoma" w:hAnsi="Tahoma" w:cs="Tahoma"/>
          <w:sz w:val="20"/>
        </w:rPr>
        <w:t>, cada órgão possui as seguintes competências:</w:t>
      </w:r>
    </w:p>
    <w:p w:rsidR="00465C63" w:rsidRPr="00C02E24" w:rsidRDefault="008F04AC" w:rsidP="00AD12FB">
      <w:pPr>
        <w:spacing w:after="120"/>
        <w:ind w:firstLine="709"/>
        <w:jc w:val="both"/>
        <w:rPr>
          <w:rFonts w:ascii="Tahoma" w:hAnsi="Tahoma" w:cs="Tahoma"/>
          <w:i/>
          <w:sz w:val="20"/>
        </w:rPr>
      </w:pPr>
      <w:r w:rsidRPr="00C02E24">
        <w:rPr>
          <w:rFonts w:ascii="Tahoma" w:hAnsi="Tahoma" w:cs="Tahoma"/>
          <w:i/>
          <w:noProof/>
          <w:sz w:val="20"/>
        </w:rPr>
        <w:fldChar w:fldCharType="begin"/>
      </w:r>
      <w:r w:rsidR="002670EA" w:rsidRPr="00C02E24">
        <w:rPr>
          <w:rFonts w:ascii="Tahoma" w:hAnsi="Tahoma" w:cs="Tahoma"/>
          <w:i/>
          <w:noProof/>
          <w:sz w:val="20"/>
        </w:rPr>
        <w:instrText xml:space="preserve"> MERGEFIELD CONSELHO </w:instrText>
      </w:r>
      <w:r w:rsidRPr="00C02E24">
        <w:rPr>
          <w:rFonts w:ascii="Tahoma" w:hAnsi="Tahoma" w:cs="Tahoma"/>
          <w:i/>
          <w:noProof/>
          <w:sz w:val="20"/>
        </w:rPr>
        <w:fldChar w:fldCharType="separate"/>
      </w:r>
      <w:r w:rsidR="004A232E" w:rsidRPr="00BC514D">
        <w:rPr>
          <w:rFonts w:ascii="Tahoma" w:hAnsi="Tahoma" w:cs="Tahoma"/>
          <w:i/>
          <w:noProof/>
          <w:sz w:val="20"/>
        </w:rPr>
        <w:t>CONSELHO DO REGIME PRÓPRIO DE PREVIDÊNCIA DE ENTRE-IJUÍS</w:t>
      </w:r>
      <w:r w:rsidRPr="00C02E24">
        <w:rPr>
          <w:rFonts w:ascii="Tahoma" w:hAnsi="Tahoma" w:cs="Tahoma"/>
          <w:i/>
          <w:noProof/>
          <w:sz w:val="20"/>
        </w:rPr>
        <w:fldChar w:fldCharType="end"/>
      </w:r>
    </w:p>
    <w:p w:rsidR="00465C63" w:rsidRPr="00C02E24" w:rsidRDefault="00465C63" w:rsidP="00AD12FB">
      <w:pPr>
        <w:pStyle w:val="PargrafodaLista"/>
        <w:numPr>
          <w:ilvl w:val="0"/>
          <w:numId w:val="2"/>
        </w:numPr>
        <w:spacing w:after="120"/>
        <w:ind w:firstLine="709"/>
        <w:jc w:val="both"/>
        <w:rPr>
          <w:rFonts w:ascii="Tahoma" w:hAnsi="Tahoma" w:cs="Tahoma"/>
          <w:sz w:val="20"/>
        </w:rPr>
      </w:pPr>
      <w:r w:rsidRPr="00C02E24">
        <w:rPr>
          <w:rFonts w:ascii="Tahoma" w:hAnsi="Tahoma" w:cs="Tahoma"/>
          <w:sz w:val="20"/>
        </w:rPr>
        <w:t xml:space="preserve">Aprovar a </w:t>
      </w:r>
      <w:r w:rsidR="007A0B11" w:rsidRPr="00C02E24">
        <w:rPr>
          <w:rFonts w:ascii="Tahoma" w:hAnsi="Tahoma" w:cs="Tahoma"/>
          <w:sz w:val="20"/>
        </w:rPr>
        <w:t>Política de Investimentos</w:t>
      </w:r>
      <w:r w:rsidRPr="00C02E24">
        <w:rPr>
          <w:rFonts w:ascii="Tahoma" w:hAnsi="Tahoma" w:cs="Tahoma"/>
          <w:sz w:val="20"/>
        </w:rPr>
        <w:t xml:space="preserve"> com base na legislação vigente;</w:t>
      </w:r>
    </w:p>
    <w:p w:rsidR="00465C63" w:rsidRPr="00C02E24" w:rsidRDefault="00465C63" w:rsidP="00AD12FB">
      <w:pPr>
        <w:pStyle w:val="PargrafodaLista"/>
        <w:numPr>
          <w:ilvl w:val="0"/>
          <w:numId w:val="2"/>
        </w:numPr>
        <w:spacing w:after="120"/>
        <w:ind w:firstLine="709"/>
        <w:jc w:val="both"/>
        <w:rPr>
          <w:rFonts w:ascii="Tahoma" w:hAnsi="Tahoma" w:cs="Tahoma"/>
          <w:sz w:val="20"/>
        </w:rPr>
      </w:pPr>
      <w:r w:rsidRPr="00C02E24">
        <w:rPr>
          <w:rFonts w:ascii="Tahoma" w:hAnsi="Tahoma" w:cs="Tahoma"/>
          <w:sz w:val="20"/>
        </w:rPr>
        <w:t>Analisar a atual ca</w:t>
      </w:r>
      <w:r w:rsidR="00C50758" w:rsidRPr="00C02E24">
        <w:rPr>
          <w:rFonts w:ascii="Tahoma" w:hAnsi="Tahoma" w:cs="Tahoma"/>
          <w:sz w:val="20"/>
        </w:rPr>
        <w:t>r</w:t>
      </w:r>
      <w:r w:rsidRPr="00C02E24">
        <w:rPr>
          <w:rFonts w:ascii="Tahoma" w:hAnsi="Tahoma" w:cs="Tahoma"/>
          <w:sz w:val="20"/>
        </w:rPr>
        <w:t xml:space="preserve">teira do RPPS conforme proposta atual da </w:t>
      </w:r>
      <w:r w:rsidR="007A0B11" w:rsidRPr="00C02E24">
        <w:rPr>
          <w:rFonts w:ascii="Tahoma" w:hAnsi="Tahoma" w:cs="Tahoma"/>
          <w:sz w:val="20"/>
        </w:rPr>
        <w:t>Política de Investimentos</w:t>
      </w:r>
      <w:r w:rsidRPr="00C02E24">
        <w:rPr>
          <w:rFonts w:ascii="Tahoma" w:hAnsi="Tahoma" w:cs="Tahoma"/>
          <w:sz w:val="20"/>
        </w:rPr>
        <w:t>;</w:t>
      </w:r>
    </w:p>
    <w:p w:rsidR="00465C63" w:rsidRPr="00C02E24" w:rsidRDefault="00465C63" w:rsidP="00AD12FB">
      <w:pPr>
        <w:pStyle w:val="PargrafodaLista"/>
        <w:numPr>
          <w:ilvl w:val="0"/>
          <w:numId w:val="2"/>
        </w:numPr>
        <w:spacing w:after="120"/>
        <w:ind w:firstLine="709"/>
        <w:jc w:val="both"/>
        <w:rPr>
          <w:rFonts w:ascii="Tahoma" w:hAnsi="Tahoma" w:cs="Tahoma"/>
          <w:sz w:val="20"/>
        </w:rPr>
      </w:pPr>
      <w:r w:rsidRPr="00C02E24">
        <w:rPr>
          <w:rFonts w:ascii="Tahoma" w:hAnsi="Tahoma" w:cs="Tahoma"/>
          <w:sz w:val="20"/>
        </w:rPr>
        <w:t>Aprovar os limites: "mínimos, alvos e superiores" por segmento (Renda Fixa, Renda Variável e Imóvel);</w:t>
      </w:r>
    </w:p>
    <w:p w:rsidR="00465C63" w:rsidRPr="002A084B" w:rsidRDefault="00465C63" w:rsidP="00AD12FB">
      <w:pPr>
        <w:pStyle w:val="PargrafodaLista"/>
        <w:numPr>
          <w:ilvl w:val="0"/>
          <w:numId w:val="2"/>
        </w:numPr>
        <w:spacing w:after="120"/>
        <w:ind w:firstLine="709"/>
        <w:jc w:val="both"/>
        <w:rPr>
          <w:rFonts w:ascii="Tahoma" w:hAnsi="Tahoma" w:cs="Tahoma"/>
          <w:sz w:val="20"/>
        </w:rPr>
      </w:pPr>
      <w:r w:rsidRPr="00C02E24">
        <w:rPr>
          <w:rFonts w:ascii="Tahoma" w:hAnsi="Tahoma" w:cs="Tahoma"/>
          <w:sz w:val="20"/>
        </w:rPr>
        <w:lastRenderedPageBreak/>
        <w:t>Acompanhar</w:t>
      </w:r>
      <w:r w:rsidR="00C50758" w:rsidRPr="00C02E24">
        <w:rPr>
          <w:rFonts w:ascii="Tahoma" w:hAnsi="Tahoma" w:cs="Tahoma"/>
          <w:sz w:val="20"/>
        </w:rPr>
        <w:t>,</w:t>
      </w:r>
      <w:r w:rsidRPr="00C02E24">
        <w:rPr>
          <w:rFonts w:ascii="Tahoma" w:hAnsi="Tahoma" w:cs="Tahoma"/>
          <w:sz w:val="20"/>
        </w:rPr>
        <w:t xml:space="preserve"> mensalmente</w:t>
      </w:r>
      <w:r w:rsidR="00C50758" w:rsidRPr="00C02E24">
        <w:rPr>
          <w:rFonts w:ascii="Tahoma" w:hAnsi="Tahoma" w:cs="Tahoma"/>
          <w:sz w:val="20"/>
        </w:rPr>
        <w:t>,</w:t>
      </w:r>
      <w:r w:rsidRPr="00C02E24">
        <w:rPr>
          <w:rFonts w:ascii="Tahoma" w:hAnsi="Tahoma" w:cs="Tahoma"/>
          <w:sz w:val="20"/>
        </w:rPr>
        <w:t xml:space="preserve"> o enquadramento</w:t>
      </w:r>
      <w:r w:rsidRPr="002A084B">
        <w:rPr>
          <w:rFonts w:ascii="Tahoma" w:hAnsi="Tahoma" w:cs="Tahoma"/>
          <w:sz w:val="20"/>
        </w:rPr>
        <w:t xml:space="preserve"> do RPPS às legislações vigentes;</w:t>
      </w:r>
    </w:p>
    <w:p w:rsidR="00465C63" w:rsidRPr="00C02E24" w:rsidRDefault="00465C63" w:rsidP="00AD12FB">
      <w:pPr>
        <w:pStyle w:val="PargrafodaLista"/>
        <w:numPr>
          <w:ilvl w:val="0"/>
          <w:numId w:val="2"/>
        </w:numPr>
        <w:spacing w:after="120"/>
        <w:ind w:firstLine="709"/>
        <w:jc w:val="both"/>
        <w:rPr>
          <w:rFonts w:ascii="Tahoma" w:hAnsi="Tahoma" w:cs="Tahoma"/>
          <w:sz w:val="20"/>
        </w:rPr>
      </w:pPr>
      <w:r w:rsidRPr="00C02E24">
        <w:rPr>
          <w:rFonts w:ascii="Tahoma" w:hAnsi="Tahoma" w:cs="Tahoma"/>
          <w:sz w:val="20"/>
        </w:rPr>
        <w:t>Apreciar</w:t>
      </w:r>
      <w:r w:rsidR="00C50758" w:rsidRPr="00C02E24">
        <w:rPr>
          <w:rFonts w:ascii="Tahoma" w:hAnsi="Tahoma" w:cs="Tahoma"/>
          <w:sz w:val="20"/>
        </w:rPr>
        <w:t xml:space="preserve">, mensalmente, </w:t>
      </w:r>
      <w:r w:rsidRPr="00C02E24">
        <w:rPr>
          <w:rFonts w:ascii="Tahoma" w:hAnsi="Tahoma" w:cs="Tahoma"/>
          <w:sz w:val="20"/>
        </w:rPr>
        <w:t xml:space="preserve">o resultado da carteira de investimentos do RPPS, bem como aprovar a ATA da reunião do </w:t>
      </w:r>
      <w:r w:rsidR="007F6D14" w:rsidRPr="00C02E24">
        <w:rPr>
          <w:rFonts w:ascii="Tahoma" w:hAnsi="Tahoma" w:cs="Tahoma"/>
          <w:sz w:val="20"/>
        </w:rPr>
        <w:t>Comitê de Investimento</w:t>
      </w:r>
      <w:r w:rsidRPr="00C02E24">
        <w:rPr>
          <w:rFonts w:ascii="Tahoma" w:hAnsi="Tahoma" w:cs="Tahoma"/>
          <w:sz w:val="20"/>
        </w:rPr>
        <w:t>s;</w:t>
      </w:r>
    </w:p>
    <w:p w:rsidR="00465C63" w:rsidRPr="00C02E24" w:rsidRDefault="00465C63" w:rsidP="00AD12FB">
      <w:pPr>
        <w:pStyle w:val="PargrafodaLista"/>
        <w:numPr>
          <w:ilvl w:val="0"/>
          <w:numId w:val="2"/>
        </w:numPr>
        <w:spacing w:after="120"/>
        <w:ind w:firstLine="709"/>
        <w:jc w:val="both"/>
        <w:rPr>
          <w:rFonts w:ascii="Tahoma" w:hAnsi="Tahoma" w:cs="Tahoma"/>
          <w:sz w:val="20"/>
        </w:rPr>
      </w:pPr>
      <w:r w:rsidRPr="00C02E24">
        <w:rPr>
          <w:rFonts w:ascii="Tahoma" w:hAnsi="Tahoma" w:cs="Tahoma"/>
          <w:sz w:val="20"/>
        </w:rPr>
        <w:t>Aprovar as eventuais realocações de recursos da carteira sugeridas pelo comitê;</w:t>
      </w:r>
    </w:p>
    <w:p w:rsidR="00333690" w:rsidRPr="00946F98" w:rsidRDefault="00333690" w:rsidP="00AD12FB">
      <w:pPr>
        <w:pStyle w:val="PargrafodaLista"/>
        <w:numPr>
          <w:ilvl w:val="0"/>
          <w:numId w:val="2"/>
        </w:numPr>
        <w:spacing w:after="120"/>
        <w:ind w:firstLine="709"/>
        <w:jc w:val="both"/>
        <w:rPr>
          <w:rFonts w:ascii="Tahoma" w:hAnsi="Tahoma" w:cs="Tahoma"/>
          <w:sz w:val="20"/>
        </w:rPr>
      </w:pPr>
      <w:r w:rsidRPr="00946F98">
        <w:rPr>
          <w:rFonts w:ascii="Tahoma" w:hAnsi="Tahoma" w:cs="Tahoma"/>
          <w:sz w:val="20"/>
        </w:rPr>
        <w:t>Deverão ser emitidos relatórios, no mínimo, semestralmente</w:t>
      </w:r>
      <w:r w:rsidR="00C02E24" w:rsidRPr="00946F98">
        <w:rPr>
          <w:rFonts w:ascii="Tahoma" w:hAnsi="Tahoma" w:cs="Tahoma"/>
          <w:sz w:val="20"/>
        </w:rPr>
        <w:t xml:space="preserve"> </w:t>
      </w:r>
      <w:r w:rsidR="00C02E24" w:rsidRPr="00946F98">
        <w:rPr>
          <w:rFonts w:ascii="Tahoma" w:hAnsi="Tahoma" w:cs="Tahoma"/>
          <w:b/>
          <w:bCs/>
          <w:sz w:val="20"/>
        </w:rPr>
        <w:t>( Art 129 I Portaria MTP nº 1.467/2022)</w:t>
      </w:r>
      <w:r w:rsidRPr="00946F98">
        <w:rPr>
          <w:rFonts w:ascii="Tahoma" w:hAnsi="Tahoma" w:cs="Tahoma"/>
          <w:sz w:val="20"/>
        </w:rPr>
        <w:t xml:space="preserve">, que contemplem: as conclusões dos exames efetuados, inclusive sobre a aderência da gestão dos recursos do RPPS às normas em vigor e à </w:t>
      </w:r>
      <w:r w:rsidR="007A0B11" w:rsidRPr="00946F98">
        <w:rPr>
          <w:rFonts w:ascii="Tahoma" w:hAnsi="Tahoma" w:cs="Tahoma"/>
          <w:sz w:val="20"/>
        </w:rPr>
        <w:t>Política de Investimentos</w:t>
      </w:r>
      <w:r w:rsidR="00C02E24" w:rsidRPr="00946F98">
        <w:rPr>
          <w:rFonts w:ascii="Tahoma" w:hAnsi="Tahoma" w:cs="Tahoma"/>
          <w:sz w:val="20"/>
        </w:rPr>
        <w:t>.</w:t>
      </w:r>
      <w:r w:rsidRPr="00946F98">
        <w:rPr>
          <w:rFonts w:ascii="Tahoma" w:hAnsi="Tahoma" w:cs="Tahoma"/>
          <w:sz w:val="20"/>
        </w:rPr>
        <w:t xml:space="preserve"> </w:t>
      </w:r>
    </w:p>
    <w:p w:rsidR="00465C63" w:rsidRPr="00E8601E" w:rsidRDefault="00465C63" w:rsidP="00AD12FB">
      <w:pPr>
        <w:pStyle w:val="PargrafodaLista"/>
        <w:spacing w:after="120"/>
        <w:ind w:firstLine="709"/>
        <w:jc w:val="both"/>
        <w:rPr>
          <w:rFonts w:ascii="Tahoma" w:hAnsi="Tahoma" w:cs="Tahoma"/>
          <w:sz w:val="20"/>
        </w:rPr>
      </w:pPr>
    </w:p>
    <w:p w:rsidR="00465C63" w:rsidRPr="00E8601E" w:rsidRDefault="008F04AC" w:rsidP="00AD12FB">
      <w:pPr>
        <w:spacing w:after="120"/>
        <w:ind w:firstLine="709"/>
        <w:jc w:val="both"/>
        <w:rPr>
          <w:rFonts w:ascii="Tahoma" w:hAnsi="Tahoma" w:cs="Tahoma"/>
          <w:i/>
          <w:sz w:val="20"/>
        </w:rPr>
      </w:pPr>
      <w:r>
        <w:rPr>
          <w:rFonts w:ascii="Tahoma" w:hAnsi="Tahoma" w:cs="Tahoma"/>
          <w:i/>
          <w:noProof/>
          <w:sz w:val="20"/>
        </w:rPr>
        <w:fldChar w:fldCharType="begin"/>
      </w:r>
      <w:r w:rsidR="002670EA">
        <w:rPr>
          <w:rFonts w:ascii="Tahoma" w:hAnsi="Tahoma" w:cs="Tahoma"/>
          <w:i/>
          <w:noProof/>
          <w:sz w:val="20"/>
        </w:rPr>
        <w:instrText xml:space="preserve"> MERGEFIELD COMITÊ </w:instrText>
      </w:r>
      <w:r>
        <w:rPr>
          <w:rFonts w:ascii="Tahoma" w:hAnsi="Tahoma" w:cs="Tahoma"/>
          <w:i/>
          <w:noProof/>
          <w:sz w:val="20"/>
        </w:rPr>
        <w:fldChar w:fldCharType="separate"/>
      </w:r>
      <w:r w:rsidR="004A232E" w:rsidRPr="00BC514D">
        <w:rPr>
          <w:rFonts w:ascii="Tahoma" w:hAnsi="Tahoma" w:cs="Tahoma"/>
          <w:i/>
          <w:noProof/>
          <w:sz w:val="20"/>
        </w:rPr>
        <w:t>COMITÊ DE INVESTIMENTOS</w:t>
      </w:r>
      <w:r>
        <w:rPr>
          <w:rFonts w:ascii="Tahoma" w:hAnsi="Tahoma" w:cs="Tahoma"/>
          <w:i/>
          <w:noProof/>
          <w:sz w:val="20"/>
        </w:rPr>
        <w:fldChar w:fldCharType="end"/>
      </w:r>
    </w:p>
    <w:p w:rsidR="00465C63" w:rsidRPr="00C02E24" w:rsidRDefault="00465C63" w:rsidP="00AD12FB">
      <w:pPr>
        <w:pStyle w:val="PargrafodaLista"/>
        <w:numPr>
          <w:ilvl w:val="0"/>
          <w:numId w:val="3"/>
        </w:numPr>
        <w:spacing w:after="120"/>
        <w:ind w:firstLine="709"/>
        <w:jc w:val="both"/>
        <w:rPr>
          <w:rFonts w:ascii="Tahoma" w:hAnsi="Tahoma" w:cs="Tahoma"/>
          <w:sz w:val="20"/>
        </w:rPr>
      </w:pPr>
      <w:r w:rsidRPr="00C02E24">
        <w:rPr>
          <w:rFonts w:ascii="Tahoma" w:hAnsi="Tahoma" w:cs="Tahoma"/>
          <w:sz w:val="20"/>
        </w:rPr>
        <w:t xml:space="preserve">Estabelecer as diretrizes gerais da </w:t>
      </w:r>
      <w:r w:rsidR="007A0B11" w:rsidRPr="00C02E24">
        <w:rPr>
          <w:rFonts w:ascii="Tahoma" w:hAnsi="Tahoma" w:cs="Tahoma"/>
          <w:sz w:val="20"/>
        </w:rPr>
        <w:t>Política de Investimentos</w:t>
      </w:r>
      <w:r w:rsidRPr="00C02E24">
        <w:rPr>
          <w:rFonts w:ascii="Tahoma" w:hAnsi="Tahoma" w:cs="Tahoma"/>
          <w:sz w:val="20"/>
        </w:rPr>
        <w:t xml:space="preserve"> de gestão financeira dos recursos do regime previdenciário, submetendo-as ao devido órgão para aprovação;</w:t>
      </w:r>
    </w:p>
    <w:p w:rsidR="00465C63" w:rsidRPr="00C02E24" w:rsidRDefault="00465C63" w:rsidP="00AD12FB">
      <w:pPr>
        <w:pStyle w:val="PargrafodaLista"/>
        <w:numPr>
          <w:ilvl w:val="0"/>
          <w:numId w:val="3"/>
        </w:numPr>
        <w:spacing w:after="120"/>
        <w:ind w:firstLine="709"/>
        <w:jc w:val="both"/>
        <w:rPr>
          <w:rFonts w:ascii="Tahoma" w:hAnsi="Tahoma" w:cs="Tahoma"/>
          <w:sz w:val="20"/>
        </w:rPr>
      </w:pPr>
      <w:r w:rsidRPr="00C02E24">
        <w:rPr>
          <w:rFonts w:ascii="Tahoma" w:hAnsi="Tahoma" w:cs="Tahoma"/>
          <w:sz w:val="20"/>
        </w:rPr>
        <w:t>Propor e aprovar os planos de aplicação financeira dos recursos do regime previdenciário em consonância com a Resolução</w:t>
      </w:r>
      <w:r w:rsidR="00C50758" w:rsidRPr="00C02E24">
        <w:rPr>
          <w:rFonts w:ascii="Tahoma" w:hAnsi="Tahoma" w:cs="Tahoma"/>
          <w:sz w:val="20"/>
        </w:rPr>
        <w:t xml:space="preserve"> nº</w:t>
      </w:r>
      <w:r w:rsidRPr="00C02E24">
        <w:rPr>
          <w:rFonts w:ascii="Tahoma" w:hAnsi="Tahoma" w:cs="Tahoma"/>
          <w:sz w:val="20"/>
        </w:rPr>
        <w:t xml:space="preserve"> </w:t>
      </w:r>
      <w:r w:rsidR="00CB03D4" w:rsidRPr="00C02E24">
        <w:rPr>
          <w:rFonts w:ascii="Tahoma" w:hAnsi="Tahoma" w:cs="Tahoma"/>
          <w:sz w:val="20"/>
        </w:rPr>
        <w:t>4.963</w:t>
      </w:r>
      <w:r w:rsidRPr="00C02E24">
        <w:rPr>
          <w:rFonts w:ascii="Tahoma" w:hAnsi="Tahoma" w:cs="Tahoma"/>
          <w:sz w:val="20"/>
        </w:rPr>
        <w:t>/</w:t>
      </w:r>
      <w:r w:rsidR="00CB03D4" w:rsidRPr="00C02E24">
        <w:rPr>
          <w:rFonts w:ascii="Tahoma" w:hAnsi="Tahoma" w:cs="Tahoma"/>
          <w:sz w:val="20"/>
        </w:rPr>
        <w:t>2021</w:t>
      </w:r>
      <w:r w:rsidRPr="00C02E24">
        <w:rPr>
          <w:rFonts w:ascii="Tahoma" w:hAnsi="Tahoma" w:cs="Tahoma"/>
          <w:sz w:val="20"/>
        </w:rPr>
        <w:t xml:space="preserve"> do Conselho Monetário Nacional;</w:t>
      </w:r>
    </w:p>
    <w:p w:rsidR="00465C63" w:rsidRPr="00E8601E" w:rsidRDefault="00465C63" w:rsidP="00AD12FB">
      <w:pPr>
        <w:pStyle w:val="PargrafodaLista"/>
        <w:numPr>
          <w:ilvl w:val="0"/>
          <w:numId w:val="3"/>
        </w:numPr>
        <w:spacing w:after="120"/>
        <w:ind w:firstLine="709"/>
        <w:jc w:val="both"/>
        <w:rPr>
          <w:rFonts w:ascii="Tahoma" w:hAnsi="Tahoma" w:cs="Tahoma"/>
          <w:sz w:val="20"/>
        </w:rPr>
      </w:pPr>
      <w:r w:rsidRPr="00C02E24">
        <w:rPr>
          <w:rFonts w:ascii="Tahoma" w:hAnsi="Tahoma" w:cs="Tahoma"/>
          <w:sz w:val="20"/>
        </w:rPr>
        <w:t>Analisar a adoção de melhores estratégias</w:t>
      </w:r>
      <w:r w:rsidRPr="00E8601E">
        <w:rPr>
          <w:rFonts w:ascii="Tahoma" w:hAnsi="Tahoma" w:cs="Tahoma"/>
          <w:sz w:val="20"/>
        </w:rPr>
        <w:t xml:space="preserve"> para as aplicações dos recursos, visando o cumprimento da meta atuarial;</w:t>
      </w:r>
    </w:p>
    <w:p w:rsidR="00465C63" w:rsidRPr="00E8601E" w:rsidRDefault="00465C63" w:rsidP="00AD12FB">
      <w:pPr>
        <w:pStyle w:val="PargrafodaLista"/>
        <w:numPr>
          <w:ilvl w:val="0"/>
          <w:numId w:val="3"/>
        </w:numPr>
        <w:spacing w:after="120"/>
        <w:ind w:firstLine="709"/>
        <w:jc w:val="both"/>
        <w:rPr>
          <w:rFonts w:ascii="Tahoma" w:hAnsi="Tahoma" w:cs="Tahoma"/>
          <w:sz w:val="20"/>
        </w:rPr>
      </w:pPr>
      <w:r w:rsidRPr="00E8601E">
        <w:rPr>
          <w:rFonts w:ascii="Tahoma" w:hAnsi="Tahoma" w:cs="Tahoma"/>
          <w:sz w:val="20"/>
        </w:rPr>
        <w:t>Apreciar mensalmente o cenário Econômico-Financeiro de curto, médio e longo prazo;</w:t>
      </w:r>
    </w:p>
    <w:p w:rsidR="00465C63" w:rsidRPr="002A084B" w:rsidRDefault="00465C63" w:rsidP="00AD12FB">
      <w:pPr>
        <w:pStyle w:val="PargrafodaLista"/>
        <w:numPr>
          <w:ilvl w:val="0"/>
          <w:numId w:val="3"/>
        </w:numPr>
        <w:spacing w:after="120"/>
        <w:ind w:firstLine="709"/>
        <w:jc w:val="both"/>
        <w:rPr>
          <w:rFonts w:ascii="Tahoma" w:hAnsi="Tahoma" w:cs="Tahoma"/>
          <w:sz w:val="20"/>
        </w:rPr>
      </w:pPr>
      <w:r w:rsidRPr="002A084B">
        <w:rPr>
          <w:rFonts w:ascii="Tahoma" w:hAnsi="Tahoma" w:cs="Tahoma"/>
          <w:sz w:val="20"/>
        </w:rPr>
        <w:t>Observar e aplicar os limites de alocações de acordo com a legislação vigente;</w:t>
      </w:r>
    </w:p>
    <w:p w:rsidR="00465C63" w:rsidRPr="00C02E24" w:rsidRDefault="00465C63" w:rsidP="00AD12FB">
      <w:pPr>
        <w:pStyle w:val="PargrafodaLista"/>
        <w:numPr>
          <w:ilvl w:val="0"/>
          <w:numId w:val="3"/>
        </w:numPr>
        <w:spacing w:after="120"/>
        <w:ind w:firstLine="709"/>
        <w:jc w:val="both"/>
        <w:rPr>
          <w:rFonts w:ascii="Tahoma" w:hAnsi="Tahoma" w:cs="Tahoma"/>
          <w:sz w:val="20"/>
        </w:rPr>
      </w:pPr>
      <w:r w:rsidRPr="00C02E24">
        <w:rPr>
          <w:rFonts w:ascii="Tahoma" w:hAnsi="Tahoma" w:cs="Tahoma"/>
          <w:sz w:val="20"/>
        </w:rPr>
        <w:t xml:space="preserve">Deliberar, após as devidas análises, </w:t>
      </w:r>
      <w:r w:rsidR="005D3A43">
        <w:rPr>
          <w:rFonts w:ascii="Tahoma" w:hAnsi="Tahoma" w:cs="Tahoma"/>
          <w:sz w:val="20"/>
        </w:rPr>
        <w:t xml:space="preserve">sobre </w:t>
      </w:r>
      <w:r w:rsidRPr="00C02E24">
        <w:rPr>
          <w:rFonts w:ascii="Tahoma" w:hAnsi="Tahoma" w:cs="Tahoma"/>
          <w:sz w:val="20"/>
        </w:rPr>
        <w:t xml:space="preserve">a renovação do credenciamento das </w:t>
      </w:r>
      <w:r w:rsidR="00C50758" w:rsidRPr="00C02E24">
        <w:rPr>
          <w:rFonts w:ascii="Tahoma" w:hAnsi="Tahoma" w:cs="Tahoma"/>
          <w:sz w:val="20"/>
        </w:rPr>
        <w:t>i</w:t>
      </w:r>
      <w:r w:rsidRPr="00C02E24">
        <w:rPr>
          <w:rFonts w:ascii="Tahoma" w:hAnsi="Tahoma" w:cs="Tahoma"/>
          <w:sz w:val="20"/>
        </w:rPr>
        <w:t xml:space="preserve">nstituições </w:t>
      </w:r>
      <w:r w:rsidR="00C50758" w:rsidRPr="00C02E24">
        <w:rPr>
          <w:rFonts w:ascii="Tahoma" w:hAnsi="Tahoma" w:cs="Tahoma"/>
          <w:sz w:val="20"/>
        </w:rPr>
        <w:t>f</w:t>
      </w:r>
      <w:r w:rsidRPr="00C02E24">
        <w:rPr>
          <w:rFonts w:ascii="Tahoma" w:hAnsi="Tahoma" w:cs="Tahoma"/>
          <w:sz w:val="20"/>
        </w:rPr>
        <w:t>inanceiras, e sugerir, se necessário, o credenciamento de novas instituições financeiras;</w:t>
      </w:r>
    </w:p>
    <w:p w:rsidR="00465C63" w:rsidRPr="002A084B" w:rsidRDefault="00465C63" w:rsidP="00AD12FB">
      <w:pPr>
        <w:pStyle w:val="PargrafodaLista"/>
        <w:numPr>
          <w:ilvl w:val="0"/>
          <w:numId w:val="3"/>
        </w:numPr>
        <w:spacing w:after="120"/>
        <w:ind w:firstLine="709"/>
        <w:jc w:val="both"/>
        <w:rPr>
          <w:rFonts w:ascii="Tahoma" w:hAnsi="Tahoma" w:cs="Tahoma"/>
          <w:sz w:val="20"/>
        </w:rPr>
      </w:pPr>
      <w:r w:rsidRPr="002A084B">
        <w:rPr>
          <w:rFonts w:ascii="Tahoma" w:hAnsi="Tahoma" w:cs="Tahoma"/>
          <w:sz w:val="20"/>
        </w:rPr>
        <w:t>Analisar taxas de juros, administração e de performance das aplicações existentes e as que vierem a ser realizadas;</w:t>
      </w:r>
    </w:p>
    <w:p w:rsidR="00465C63" w:rsidRDefault="00465C63" w:rsidP="00AD12FB">
      <w:pPr>
        <w:pStyle w:val="PargrafodaLista"/>
        <w:numPr>
          <w:ilvl w:val="0"/>
          <w:numId w:val="3"/>
        </w:numPr>
        <w:spacing w:after="120"/>
        <w:ind w:firstLine="709"/>
        <w:jc w:val="both"/>
        <w:rPr>
          <w:rFonts w:ascii="Tahoma" w:hAnsi="Tahoma" w:cs="Tahoma"/>
          <w:sz w:val="20"/>
        </w:rPr>
      </w:pPr>
      <w:r w:rsidRPr="002A084B">
        <w:rPr>
          <w:rFonts w:ascii="Tahoma" w:hAnsi="Tahoma" w:cs="Tahoma"/>
          <w:sz w:val="20"/>
        </w:rPr>
        <w:t>Fornecer subsídios à Diretoria e ao Conselho, se necessário, recomendando eventual alteração e/ou realocação que julgar procedente referente a carteira de investimentos do RPPS</w:t>
      </w:r>
      <w:r w:rsidR="00333690">
        <w:rPr>
          <w:rFonts w:ascii="Tahoma" w:hAnsi="Tahoma" w:cs="Tahoma"/>
          <w:sz w:val="20"/>
        </w:rPr>
        <w:t>;</w:t>
      </w:r>
    </w:p>
    <w:p w:rsidR="00C02E24" w:rsidRPr="00946F98" w:rsidRDefault="00333690" w:rsidP="00C02E24">
      <w:pPr>
        <w:pStyle w:val="PargrafodaLista"/>
        <w:numPr>
          <w:ilvl w:val="0"/>
          <w:numId w:val="3"/>
        </w:numPr>
        <w:ind w:firstLine="709"/>
        <w:jc w:val="both"/>
        <w:rPr>
          <w:rFonts w:ascii="Tahoma" w:hAnsi="Tahoma" w:cs="Tahoma"/>
          <w:sz w:val="20"/>
        </w:rPr>
      </w:pPr>
      <w:r w:rsidRPr="00946F98">
        <w:rPr>
          <w:rFonts w:ascii="Tahoma" w:hAnsi="Tahoma" w:cs="Tahoma"/>
          <w:sz w:val="20"/>
        </w:rPr>
        <w:t>Elaborar, no mínimo, trimestralmente</w:t>
      </w:r>
      <w:r w:rsidR="00C02E24" w:rsidRPr="00946F98">
        <w:rPr>
          <w:rFonts w:ascii="Tahoma" w:hAnsi="Tahoma" w:cs="Tahoma"/>
          <w:sz w:val="20"/>
        </w:rPr>
        <w:t xml:space="preserve"> </w:t>
      </w:r>
      <w:r w:rsidR="00C02E24" w:rsidRPr="00946F98">
        <w:rPr>
          <w:rFonts w:ascii="Tahoma" w:hAnsi="Tahoma" w:cs="Tahoma"/>
          <w:b/>
          <w:bCs/>
          <w:sz w:val="20"/>
        </w:rPr>
        <w:t xml:space="preserve">(Art. 136 Portaria MTP </w:t>
      </w:r>
      <w:r w:rsidR="00946F98" w:rsidRPr="00946F98">
        <w:rPr>
          <w:rFonts w:ascii="Tahoma" w:hAnsi="Tahoma" w:cs="Tahoma"/>
          <w:b/>
          <w:bCs/>
          <w:sz w:val="20"/>
        </w:rPr>
        <w:t xml:space="preserve"> nº </w:t>
      </w:r>
      <w:r w:rsidR="00C02E24" w:rsidRPr="00946F98">
        <w:rPr>
          <w:rFonts w:ascii="Tahoma" w:hAnsi="Tahoma" w:cs="Tahoma"/>
          <w:b/>
          <w:bCs/>
          <w:sz w:val="20"/>
        </w:rPr>
        <w:t>1.467/2022)</w:t>
      </w:r>
      <w:r w:rsidRPr="00946F98">
        <w:rPr>
          <w:rFonts w:ascii="Tahoma" w:hAnsi="Tahoma" w:cs="Tahoma"/>
          <w:sz w:val="20"/>
        </w:rPr>
        <w:t xml:space="preserve">, relatórios detalhados sobre a rentabilidade, os riscos das diversas modalidades de operações realizadas nas aplicações dos recursos do regime e a aderência à </w:t>
      </w:r>
      <w:r w:rsidR="007A0B11" w:rsidRPr="00946F98">
        <w:rPr>
          <w:rFonts w:ascii="Tahoma" w:hAnsi="Tahoma" w:cs="Tahoma"/>
          <w:sz w:val="20"/>
        </w:rPr>
        <w:t>Política de Investimentos</w:t>
      </w:r>
      <w:r w:rsidRPr="00946F98">
        <w:rPr>
          <w:rFonts w:ascii="Tahoma" w:hAnsi="Tahoma" w:cs="Tahoma"/>
          <w:sz w:val="20"/>
        </w:rPr>
        <w:t>, que deverão ser submetidos para avaliação e adoção de providências pelos órgãos responsáveis, conforme atribuições estabelecidas na forma do §2º do art. 86</w:t>
      </w:r>
      <w:r w:rsidR="00C02E24" w:rsidRPr="00946F98">
        <w:rPr>
          <w:rFonts w:ascii="Tahoma" w:hAnsi="Tahoma" w:cs="Tahoma"/>
          <w:sz w:val="20"/>
        </w:rPr>
        <w:t xml:space="preserve"> da Portaria MTP 1.467/2022;</w:t>
      </w:r>
    </w:p>
    <w:p w:rsidR="00333690" w:rsidRPr="00946F98" w:rsidRDefault="00333690" w:rsidP="00AD12FB">
      <w:pPr>
        <w:pStyle w:val="PargrafodaLista"/>
        <w:numPr>
          <w:ilvl w:val="0"/>
          <w:numId w:val="3"/>
        </w:numPr>
        <w:ind w:firstLine="709"/>
        <w:jc w:val="both"/>
        <w:rPr>
          <w:rFonts w:ascii="Tahoma" w:hAnsi="Tahoma" w:cs="Tahoma"/>
          <w:sz w:val="20"/>
        </w:rPr>
      </w:pPr>
      <w:r w:rsidRPr="00946F98">
        <w:rPr>
          <w:rFonts w:ascii="Tahoma" w:hAnsi="Tahoma" w:cs="Tahoma"/>
          <w:b/>
          <w:bCs/>
          <w:sz w:val="20"/>
        </w:rPr>
        <w:t xml:space="preserve">No início de cada exercício, </w:t>
      </w:r>
      <w:r w:rsidRPr="00946F98">
        <w:rPr>
          <w:rFonts w:ascii="Tahoma" w:hAnsi="Tahoma" w:cs="Tahoma"/>
          <w:sz w:val="20"/>
        </w:rPr>
        <w:t xml:space="preserve">deverá apresentar aos conselhos o relatório de acompanhamento da execução da </w:t>
      </w:r>
      <w:r w:rsidR="007A0B11" w:rsidRPr="00946F98">
        <w:rPr>
          <w:rFonts w:ascii="Tahoma" w:hAnsi="Tahoma" w:cs="Tahoma"/>
          <w:sz w:val="20"/>
        </w:rPr>
        <w:t>Política de Investimentos</w:t>
      </w:r>
      <w:r w:rsidRPr="00946F98">
        <w:rPr>
          <w:rFonts w:ascii="Tahoma" w:hAnsi="Tahoma" w:cs="Tahoma"/>
          <w:sz w:val="20"/>
        </w:rPr>
        <w:t xml:space="preserve"> relativo ao ano anterior</w:t>
      </w:r>
      <w:r w:rsidR="00946F98" w:rsidRPr="00946F98">
        <w:rPr>
          <w:rFonts w:ascii="Tahoma" w:hAnsi="Tahoma" w:cs="Tahoma"/>
          <w:sz w:val="20"/>
        </w:rPr>
        <w:t xml:space="preserve">, conforme </w:t>
      </w:r>
      <w:r w:rsidRPr="00946F98">
        <w:rPr>
          <w:rFonts w:ascii="Tahoma" w:hAnsi="Tahoma" w:cs="Tahoma"/>
          <w:sz w:val="20"/>
        </w:rPr>
        <w:t>Art. 101 § 3º</w:t>
      </w:r>
      <w:r w:rsidR="00946F98" w:rsidRPr="00946F98">
        <w:rPr>
          <w:rFonts w:ascii="Tahoma" w:hAnsi="Tahoma" w:cs="Tahoma"/>
          <w:sz w:val="20"/>
        </w:rPr>
        <w:t xml:space="preserve"> de</w:t>
      </w:r>
      <w:r w:rsidRPr="00946F98">
        <w:rPr>
          <w:rFonts w:ascii="Tahoma" w:hAnsi="Tahoma" w:cs="Tahoma"/>
          <w:sz w:val="20"/>
        </w:rPr>
        <w:t xml:space="preserve"> Portaria MTP</w:t>
      </w:r>
      <w:r w:rsidR="00C50758" w:rsidRPr="00946F98">
        <w:rPr>
          <w:rFonts w:ascii="Tahoma" w:hAnsi="Tahoma" w:cs="Tahoma"/>
          <w:sz w:val="20"/>
        </w:rPr>
        <w:t xml:space="preserve"> nº</w:t>
      </w:r>
      <w:r w:rsidRPr="00946F98">
        <w:rPr>
          <w:rFonts w:ascii="Tahoma" w:hAnsi="Tahoma" w:cs="Tahoma"/>
          <w:sz w:val="20"/>
        </w:rPr>
        <w:t xml:space="preserve"> </w:t>
      </w:r>
      <w:r w:rsidR="007F6D14" w:rsidRPr="00946F98">
        <w:rPr>
          <w:rFonts w:ascii="Tahoma" w:hAnsi="Tahoma" w:cs="Tahoma"/>
          <w:sz w:val="20"/>
        </w:rPr>
        <w:t>1.467</w:t>
      </w:r>
      <w:r w:rsidRPr="00946F98">
        <w:rPr>
          <w:rFonts w:ascii="Tahoma" w:hAnsi="Tahoma" w:cs="Tahoma"/>
          <w:sz w:val="20"/>
        </w:rPr>
        <w:t>/2022.</w:t>
      </w:r>
    </w:p>
    <w:p w:rsidR="00465C63" w:rsidRDefault="00465C63" w:rsidP="00AD12FB">
      <w:pPr>
        <w:spacing w:after="120"/>
        <w:ind w:firstLine="709"/>
        <w:jc w:val="both"/>
        <w:rPr>
          <w:rFonts w:ascii="Tahoma" w:hAnsi="Tahoma" w:cs="Tahoma"/>
          <w:b/>
          <w:sz w:val="20"/>
        </w:rPr>
      </w:pPr>
    </w:p>
    <w:p w:rsidR="00465C63" w:rsidRPr="000C021C" w:rsidRDefault="00465C63" w:rsidP="000C021C">
      <w:pPr>
        <w:pStyle w:val="Ttulo2"/>
        <w:rPr>
          <w:rFonts w:ascii="Tahoma" w:hAnsi="Tahoma" w:cs="Tahoma"/>
          <w:b/>
          <w:color w:val="auto"/>
          <w:sz w:val="20"/>
        </w:rPr>
      </w:pPr>
      <w:bookmarkStart w:id="34" w:name="_Toc181778178"/>
      <w:r w:rsidRPr="000C021C">
        <w:rPr>
          <w:rFonts w:ascii="Tahoma" w:hAnsi="Tahoma" w:cs="Tahoma"/>
          <w:b/>
          <w:color w:val="auto"/>
          <w:sz w:val="20"/>
        </w:rPr>
        <w:t>Objetivo de Alocação</w:t>
      </w:r>
      <w:bookmarkEnd w:id="34"/>
    </w:p>
    <w:p w:rsidR="00465C63" w:rsidRPr="00E8601E" w:rsidRDefault="00465C63" w:rsidP="00AD12FB">
      <w:pPr>
        <w:spacing w:after="120"/>
        <w:ind w:firstLine="709"/>
        <w:jc w:val="both"/>
        <w:rPr>
          <w:rFonts w:ascii="Tahoma" w:hAnsi="Tahoma" w:cs="Tahoma"/>
          <w:b/>
          <w:sz w:val="20"/>
        </w:rPr>
      </w:pPr>
      <w:r w:rsidRPr="00E8601E">
        <w:rPr>
          <w:rFonts w:ascii="Tahoma" w:hAnsi="Tahoma" w:cs="Tahoma"/>
          <w:sz w:val="20"/>
        </w:rPr>
        <w:t xml:space="preserve">É importante ressaltar que, seja qual for </w:t>
      </w:r>
      <w:r w:rsidR="00174B0E">
        <w:rPr>
          <w:rFonts w:ascii="Tahoma" w:hAnsi="Tahoma" w:cs="Tahoma"/>
          <w:sz w:val="20"/>
        </w:rPr>
        <w:t>a</w:t>
      </w:r>
      <w:r w:rsidRPr="00E8601E">
        <w:rPr>
          <w:rFonts w:ascii="Tahoma" w:hAnsi="Tahoma" w:cs="Tahoma"/>
          <w:sz w:val="20"/>
        </w:rPr>
        <w:t xml:space="preserve"> alocação de ativos, o mercado apresentará períodos adversos, que poderá afetar ao menos parte da carteira. Daí ser imperativo um horizonte de tempo que possa ajustar essas flutuações e permitir a recuperação da ocorrência de ocasionais perdas. Desta forma, o RPPS deve manter-se fiel à </w:t>
      </w:r>
      <w:r w:rsidR="007A0B11">
        <w:rPr>
          <w:rFonts w:ascii="Tahoma" w:hAnsi="Tahoma" w:cs="Tahoma"/>
          <w:sz w:val="20"/>
        </w:rPr>
        <w:t>Política de Investimentos</w:t>
      </w:r>
      <w:r w:rsidRPr="00E8601E">
        <w:rPr>
          <w:rFonts w:ascii="Tahoma" w:hAnsi="Tahoma" w:cs="Tahoma"/>
          <w:sz w:val="20"/>
        </w:rPr>
        <w:t xml:space="preserve"> definida originalmente a </w:t>
      </w:r>
      <w:r w:rsidRPr="00E8601E">
        <w:rPr>
          <w:rFonts w:ascii="Tahoma" w:hAnsi="Tahoma" w:cs="Tahoma"/>
          <w:sz w:val="20"/>
        </w:rPr>
        <w:lastRenderedPageBreak/>
        <w:t>partir do seu perfil de risco.</w:t>
      </w:r>
      <w:r w:rsidR="005D3A43">
        <w:rPr>
          <w:rFonts w:ascii="Tahoma" w:hAnsi="Tahoma" w:cs="Tahoma"/>
          <w:sz w:val="20"/>
        </w:rPr>
        <w:t xml:space="preserve"> </w:t>
      </w:r>
      <w:r w:rsidRPr="00E8601E">
        <w:rPr>
          <w:rFonts w:ascii="Tahoma" w:hAnsi="Tahoma" w:cs="Tahoma"/>
          <w:sz w:val="20"/>
        </w:rPr>
        <w:t>E</w:t>
      </w:r>
      <w:r w:rsidR="005D3A43">
        <w:rPr>
          <w:rFonts w:ascii="Tahoma" w:hAnsi="Tahoma" w:cs="Tahoma"/>
          <w:sz w:val="20"/>
        </w:rPr>
        <w:t>,</w:t>
      </w:r>
      <w:r w:rsidRPr="00E8601E">
        <w:rPr>
          <w:rFonts w:ascii="Tahoma" w:hAnsi="Tahoma" w:cs="Tahoma"/>
          <w:sz w:val="20"/>
        </w:rPr>
        <w:t xml:space="preserve"> de forma organizada, remanejar a alocação inicial em momentos de alta (vendendo) ou baixa (comprando) com o objetivo de rebalancear sua carteira de investimentos. Três virtudes básicas de um bom investidor são fundamentais: disciplina, paciência e diversificação</w:t>
      </w:r>
      <w:r w:rsidRPr="00E8601E">
        <w:rPr>
          <w:rFonts w:ascii="Tahoma" w:hAnsi="Tahoma" w:cs="Tahoma"/>
          <w:b/>
          <w:sz w:val="20"/>
        </w:rPr>
        <w:t>.</w:t>
      </w:r>
    </w:p>
    <w:p w:rsidR="00465C63" w:rsidRDefault="00465C63" w:rsidP="00AD12FB">
      <w:pPr>
        <w:spacing w:after="120"/>
        <w:ind w:firstLine="709"/>
        <w:jc w:val="both"/>
        <w:rPr>
          <w:rFonts w:ascii="Tahoma" w:hAnsi="Tahoma" w:cs="Tahoma"/>
          <w:b/>
          <w:sz w:val="20"/>
        </w:rPr>
      </w:pPr>
    </w:p>
    <w:p w:rsidR="00465C63" w:rsidRPr="00E8601E" w:rsidRDefault="00465C63" w:rsidP="00EC5FD6">
      <w:pPr>
        <w:pStyle w:val="Subttulo"/>
        <w:rPr>
          <w:sz w:val="20"/>
        </w:rPr>
      </w:pPr>
      <w:bookmarkStart w:id="35" w:name="_Toc181778179"/>
      <w:r w:rsidRPr="00E8601E">
        <w:rPr>
          <w:sz w:val="20"/>
        </w:rPr>
        <w:t>Das Alocações dos Recursos</w:t>
      </w:r>
      <w:bookmarkEnd w:id="35"/>
    </w:p>
    <w:p w:rsidR="00465C63" w:rsidRPr="00E8601E" w:rsidRDefault="00465C63" w:rsidP="00AD12FB">
      <w:pPr>
        <w:spacing w:after="120"/>
        <w:ind w:firstLine="709"/>
        <w:jc w:val="both"/>
        <w:outlineLvl w:val="2"/>
        <w:rPr>
          <w:rStyle w:val="nfaseSutil"/>
          <w:sz w:val="20"/>
        </w:rPr>
      </w:pPr>
      <w:bookmarkStart w:id="36" w:name="_Toc181778180"/>
      <w:r w:rsidRPr="00E8601E">
        <w:rPr>
          <w:rStyle w:val="nfaseSutil"/>
          <w:sz w:val="20"/>
        </w:rPr>
        <w:t>Dos Segmentos</w:t>
      </w:r>
      <w:bookmarkEnd w:id="36"/>
    </w:p>
    <w:p w:rsidR="00465C63" w:rsidRPr="00E8601E" w:rsidRDefault="00465C63" w:rsidP="00AD12FB">
      <w:pPr>
        <w:spacing w:after="120"/>
        <w:ind w:firstLine="709"/>
        <w:jc w:val="both"/>
        <w:rPr>
          <w:rFonts w:ascii="Tahoma" w:hAnsi="Tahoma" w:cs="Tahoma"/>
          <w:i/>
          <w:sz w:val="20"/>
        </w:rPr>
      </w:pPr>
      <w:r w:rsidRPr="00E8601E">
        <w:rPr>
          <w:rFonts w:ascii="Tahoma" w:hAnsi="Tahoma" w:cs="Tahoma"/>
          <w:i/>
          <w:sz w:val="20"/>
        </w:rPr>
        <w:t>Segmento de Renda Fixa</w:t>
      </w:r>
    </w:p>
    <w:p w:rsidR="00465C63" w:rsidRPr="00E8601E" w:rsidRDefault="00465C63" w:rsidP="00AD12FB">
      <w:pPr>
        <w:spacing w:after="120"/>
        <w:ind w:firstLine="709"/>
        <w:jc w:val="both"/>
        <w:rPr>
          <w:rFonts w:ascii="Tahoma" w:hAnsi="Tahoma" w:cs="Tahoma"/>
          <w:sz w:val="20"/>
        </w:rPr>
      </w:pPr>
      <w:r w:rsidRPr="00E8601E">
        <w:rPr>
          <w:rFonts w:ascii="Tahoma" w:hAnsi="Tahoma" w:cs="Tahoma"/>
          <w:sz w:val="20"/>
        </w:rPr>
        <w:t xml:space="preserve">Benchmark. </w:t>
      </w:r>
      <w:r w:rsidR="008F04AC" w:rsidRPr="007E1801">
        <w:rPr>
          <w:rFonts w:ascii="Tahoma" w:hAnsi="Tahoma" w:cs="Tahoma"/>
          <w:b/>
          <w:bCs/>
          <w:noProof/>
          <w:sz w:val="20"/>
        </w:rPr>
        <w:fldChar w:fldCharType="begin"/>
      </w:r>
      <w:r w:rsidR="002670EA" w:rsidRPr="007E1801">
        <w:rPr>
          <w:rFonts w:ascii="Tahoma" w:hAnsi="Tahoma" w:cs="Tahoma"/>
          <w:b/>
          <w:bCs/>
          <w:noProof/>
          <w:sz w:val="20"/>
        </w:rPr>
        <w:instrText xml:space="preserve"> MERGEFIELD META </w:instrText>
      </w:r>
      <w:r w:rsidR="008F04AC" w:rsidRPr="007E1801">
        <w:rPr>
          <w:rFonts w:ascii="Tahoma" w:hAnsi="Tahoma" w:cs="Tahoma"/>
          <w:b/>
          <w:bCs/>
          <w:noProof/>
          <w:sz w:val="20"/>
        </w:rPr>
        <w:fldChar w:fldCharType="separate"/>
      </w:r>
      <w:r w:rsidR="004A232E" w:rsidRPr="00BC514D">
        <w:rPr>
          <w:rFonts w:ascii="Tahoma" w:hAnsi="Tahoma" w:cs="Tahoma"/>
          <w:b/>
          <w:bCs/>
          <w:noProof/>
          <w:sz w:val="20"/>
        </w:rPr>
        <w:t>IPCA + 5,17%</w:t>
      </w:r>
      <w:r w:rsidR="008F04AC" w:rsidRPr="007E1801">
        <w:rPr>
          <w:rFonts w:ascii="Tahoma" w:hAnsi="Tahoma" w:cs="Tahoma"/>
          <w:b/>
          <w:bCs/>
          <w:noProof/>
          <w:sz w:val="20"/>
        </w:rPr>
        <w:fldChar w:fldCharType="end"/>
      </w:r>
      <w:r w:rsidRPr="007E1801">
        <w:rPr>
          <w:rFonts w:ascii="Tahoma" w:hAnsi="Tahoma" w:cs="Tahoma"/>
          <w:b/>
          <w:bCs/>
          <w:sz w:val="20"/>
        </w:rPr>
        <w:t xml:space="preserve"> a.a.</w:t>
      </w:r>
      <w:r w:rsidRPr="00E8601E">
        <w:rPr>
          <w:rFonts w:ascii="Tahoma" w:hAnsi="Tahoma" w:cs="Tahoma"/>
          <w:sz w:val="20"/>
        </w:rPr>
        <w:t>, equivalente à meta atuarial.</w:t>
      </w:r>
    </w:p>
    <w:p w:rsidR="00465C63" w:rsidRPr="00C02E24" w:rsidRDefault="00465C63" w:rsidP="00AD12FB">
      <w:pPr>
        <w:spacing w:after="120"/>
        <w:ind w:firstLine="709"/>
        <w:jc w:val="both"/>
        <w:rPr>
          <w:rFonts w:ascii="Tahoma" w:hAnsi="Tahoma" w:cs="Tahoma"/>
          <w:sz w:val="20"/>
        </w:rPr>
      </w:pPr>
      <w:r w:rsidRPr="00C02E24">
        <w:rPr>
          <w:rFonts w:ascii="Tahoma" w:hAnsi="Tahoma" w:cs="Tahoma"/>
          <w:sz w:val="20"/>
        </w:rPr>
        <w:t xml:space="preserve">Ativos Elegíveis. Serão considerados ativos elegíveis para o segmento de renda fixa, os títulos e valores mobiliários permitidos pela legislação vigente aplicável ao </w:t>
      </w:r>
      <w:r w:rsidR="00F53C5D" w:rsidRPr="00C02E24">
        <w:rPr>
          <w:rFonts w:ascii="Tahoma" w:hAnsi="Tahoma" w:cs="Tahoma"/>
          <w:sz w:val="20"/>
        </w:rPr>
        <w:t>Regime Próprio de Previdência Social</w:t>
      </w:r>
      <w:r w:rsidRPr="00C02E24">
        <w:rPr>
          <w:rFonts w:ascii="Tahoma" w:hAnsi="Tahoma" w:cs="Tahoma"/>
          <w:sz w:val="20"/>
        </w:rPr>
        <w:t xml:space="preserve">. Deverão ser observados os limites e categorias de fundos do segmento de renda fixa definidos na Resolução CMN </w:t>
      </w:r>
      <w:r w:rsidR="00C50758" w:rsidRPr="00C02E24">
        <w:rPr>
          <w:rFonts w:ascii="Tahoma" w:hAnsi="Tahoma" w:cs="Tahoma"/>
          <w:sz w:val="20"/>
        </w:rPr>
        <w:t xml:space="preserve">nº </w:t>
      </w:r>
      <w:r w:rsidR="00CB03D4" w:rsidRPr="00C02E24">
        <w:rPr>
          <w:rFonts w:ascii="Tahoma" w:hAnsi="Tahoma" w:cs="Tahoma"/>
          <w:sz w:val="20"/>
        </w:rPr>
        <w:t>4.963/2021</w:t>
      </w:r>
      <w:r w:rsidRPr="00C02E24">
        <w:rPr>
          <w:rFonts w:ascii="Tahoma" w:hAnsi="Tahoma" w:cs="Tahoma"/>
          <w:sz w:val="20"/>
        </w:rPr>
        <w:t xml:space="preserve"> e nesta política anual de investimentos. No caso de operações realizadas no mercado secundário (</w:t>
      </w:r>
      <w:r w:rsidRPr="00E8601E">
        <w:rPr>
          <w:rFonts w:ascii="Tahoma" w:hAnsi="Tahoma" w:cs="Tahoma"/>
          <w:sz w:val="20"/>
        </w:rPr>
        <w:t xml:space="preserve">compra e venda de títulos públicos) o </w:t>
      </w:r>
      <w:r w:rsidR="00F53C5D">
        <w:rPr>
          <w:rFonts w:ascii="Tahoma" w:hAnsi="Tahoma" w:cs="Tahoma"/>
          <w:sz w:val="20"/>
        </w:rPr>
        <w:t>Regime Próprio de Previdência Social</w:t>
      </w:r>
      <w:r w:rsidRPr="00344EA0">
        <w:rPr>
          <w:rFonts w:ascii="Tahoma" w:hAnsi="Tahoma" w:cs="Tahoma"/>
          <w:sz w:val="20"/>
        </w:rPr>
        <w:t xml:space="preserve"> do</w:t>
      </w:r>
      <w:r w:rsidRPr="00344EA0">
        <w:rPr>
          <w:rFonts w:ascii="Tahoma" w:hAnsi="Tahoma" w:cs="Tahoma"/>
          <w:b/>
          <w:sz w:val="20"/>
        </w:rPr>
        <w:t xml:space="preserve"> </w:t>
      </w:r>
      <w:r w:rsidR="008F04AC">
        <w:rPr>
          <w:rFonts w:ascii="Tahoma" w:hAnsi="Tahoma" w:cs="Tahoma"/>
          <w:b/>
          <w:noProof/>
          <w:sz w:val="20"/>
        </w:rPr>
        <w:fldChar w:fldCharType="begin"/>
      </w:r>
      <w:r w:rsidR="002670EA">
        <w:rPr>
          <w:rFonts w:ascii="Tahoma" w:hAnsi="Tahoma" w:cs="Tahoma"/>
          <w:b/>
          <w:noProof/>
          <w:sz w:val="20"/>
        </w:rPr>
        <w:instrText xml:space="preserve"> MERGEFIELD RPPS </w:instrText>
      </w:r>
      <w:r w:rsidR="008F04AC">
        <w:rPr>
          <w:rFonts w:ascii="Tahoma" w:hAnsi="Tahoma" w:cs="Tahoma"/>
          <w:b/>
          <w:noProof/>
          <w:sz w:val="20"/>
        </w:rPr>
        <w:fldChar w:fldCharType="separate"/>
      </w:r>
      <w:r w:rsidR="004A232E" w:rsidRPr="00BC514D">
        <w:rPr>
          <w:rFonts w:ascii="Tahoma" w:hAnsi="Tahoma" w:cs="Tahoma"/>
          <w:b/>
          <w:noProof/>
          <w:sz w:val="20"/>
        </w:rPr>
        <w:t>MUNICÍPIO DE ENTRE-IJUÍS</w:t>
      </w:r>
      <w:r w:rsidR="008F04AC">
        <w:rPr>
          <w:rFonts w:ascii="Tahoma" w:hAnsi="Tahoma" w:cs="Tahoma"/>
          <w:b/>
          <w:noProof/>
          <w:sz w:val="20"/>
        </w:rPr>
        <w:fldChar w:fldCharType="end"/>
      </w:r>
      <w:r w:rsidRPr="00903574">
        <w:rPr>
          <w:rFonts w:ascii="Tahoma" w:hAnsi="Tahoma" w:cs="Tahoma"/>
          <w:b/>
          <w:sz w:val="20"/>
        </w:rPr>
        <w:t xml:space="preserve"> </w:t>
      </w:r>
      <w:r w:rsidRPr="00344EA0">
        <w:rPr>
          <w:rFonts w:ascii="Tahoma" w:hAnsi="Tahoma" w:cs="Tahoma"/>
          <w:sz w:val="20"/>
        </w:rPr>
        <w:t>deverá realizar</w:t>
      </w:r>
      <w:r w:rsidRPr="00E8601E">
        <w:rPr>
          <w:rFonts w:ascii="Tahoma" w:hAnsi="Tahoma" w:cs="Tahoma"/>
          <w:sz w:val="20"/>
        </w:rPr>
        <w:t xml:space="preserve"> o acompanhamento dos preços e taxas praticados em tais operações </w:t>
      </w:r>
      <w:r w:rsidRPr="00C02E24">
        <w:rPr>
          <w:rFonts w:ascii="Tahoma" w:hAnsi="Tahoma" w:cs="Tahoma"/>
          <w:sz w:val="20"/>
        </w:rPr>
        <w:t>e compará-los aos preços e taxas de referência do mercado (ANBIMA e Tesouro Nacional).</w:t>
      </w:r>
    </w:p>
    <w:p w:rsidR="00465C63" w:rsidRPr="00C02E24" w:rsidRDefault="00465C63" w:rsidP="00AD12FB">
      <w:pPr>
        <w:spacing w:after="120"/>
        <w:ind w:firstLine="709"/>
        <w:jc w:val="both"/>
        <w:rPr>
          <w:rFonts w:ascii="Tahoma" w:hAnsi="Tahoma" w:cs="Tahoma"/>
          <w:i/>
          <w:sz w:val="20"/>
        </w:rPr>
      </w:pPr>
      <w:r w:rsidRPr="00C02E24">
        <w:rPr>
          <w:rFonts w:ascii="Tahoma" w:hAnsi="Tahoma" w:cs="Tahoma"/>
          <w:i/>
          <w:sz w:val="20"/>
        </w:rPr>
        <w:t>Segmento de Renda Variável</w:t>
      </w:r>
    </w:p>
    <w:p w:rsidR="00465C63" w:rsidRPr="00C02E24" w:rsidRDefault="00465C63" w:rsidP="00AD12FB">
      <w:pPr>
        <w:spacing w:after="120"/>
        <w:ind w:firstLine="709"/>
        <w:jc w:val="both"/>
        <w:rPr>
          <w:rFonts w:ascii="Tahoma" w:hAnsi="Tahoma" w:cs="Tahoma"/>
          <w:sz w:val="20"/>
        </w:rPr>
      </w:pPr>
      <w:r w:rsidRPr="00C02E24">
        <w:rPr>
          <w:rFonts w:ascii="Tahoma" w:hAnsi="Tahoma" w:cs="Tahoma"/>
          <w:sz w:val="20"/>
        </w:rPr>
        <w:t xml:space="preserve">Benchmark. Ibovespa e </w:t>
      </w:r>
      <w:r w:rsidR="008F04AC" w:rsidRPr="00C02E24">
        <w:rPr>
          <w:rFonts w:ascii="Tahoma" w:hAnsi="Tahoma" w:cs="Tahoma"/>
          <w:b/>
          <w:bCs/>
          <w:noProof/>
          <w:sz w:val="20"/>
        </w:rPr>
        <w:fldChar w:fldCharType="begin"/>
      </w:r>
      <w:r w:rsidR="002670EA" w:rsidRPr="00C02E24">
        <w:rPr>
          <w:rFonts w:ascii="Tahoma" w:hAnsi="Tahoma" w:cs="Tahoma"/>
          <w:b/>
          <w:bCs/>
          <w:noProof/>
          <w:sz w:val="20"/>
        </w:rPr>
        <w:instrText xml:space="preserve"> MERGEFIELD META </w:instrText>
      </w:r>
      <w:r w:rsidR="008F04AC" w:rsidRPr="00C02E24">
        <w:rPr>
          <w:rFonts w:ascii="Tahoma" w:hAnsi="Tahoma" w:cs="Tahoma"/>
          <w:b/>
          <w:bCs/>
          <w:noProof/>
          <w:sz w:val="20"/>
        </w:rPr>
        <w:fldChar w:fldCharType="separate"/>
      </w:r>
      <w:r w:rsidR="004A232E" w:rsidRPr="00BC514D">
        <w:rPr>
          <w:rFonts w:ascii="Tahoma" w:hAnsi="Tahoma" w:cs="Tahoma"/>
          <w:b/>
          <w:bCs/>
          <w:noProof/>
          <w:sz w:val="20"/>
        </w:rPr>
        <w:t>IPCA + 5,17%</w:t>
      </w:r>
      <w:r w:rsidR="008F04AC" w:rsidRPr="00C02E24">
        <w:rPr>
          <w:rFonts w:ascii="Tahoma" w:hAnsi="Tahoma" w:cs="Tahoma"/>
          <w:b/>
          <w:bCs/>
          <w:noProof/>
          <w:sz w:val="20"/>
        </w:rPr>
        <w:fldChar w:fldCharType="end"/>
      </w:r>
      <w:r w:rsidRPr="00C02E24">
        <w:rPr>
          <w:rFonts w:ascii="Tahoma" w:hAnsi="Tahoma" w:cs="Tahoma"/>
          <w:b/>
          <w:bCs/>
          <w:sz w:val="20"/>
        </w:rPr>
        <w:t xml:space="preserve"> a.a.</w:t>
      </w:r>
      <w:r w:rsidRPr="00C02E24">
        <w:rPr>
          <w:rFonts w:ascii="Tahoma" w:hAnsi="Tahoma" w:cs="Tahoma"/>
          <w:sz w:val="20"/>
        </w:rPr>
        <w:t>, equivalente à meta atuarial.</w:t>
      </w:r>
    </w:p>
    <w:p w:rsidR="00465C63" w:rsidRPr="00E8601E" w:rsidRDefault="00465C63" w:rsidP="00AD12FB">
      <w:pPr>
        <w:spacing w:after="120"/>
        <w:ind w:firstLine="709"/>
        <w:jc w:val="both"/>
        <w:rPr>
          <w:rFonts w:ascii="Tahoma" w:hAnsi="Tahoma" w:cs="Tahoma"/>
          <w:sz w:val="20"/>
        </w:rPr>
      </w:pPr>
      <w:r w:rsidRPr="00C02E24">
        <w:rPr>
          <w:rFonts w:ascii="Tahoma" w:hAnsi="Tahoma" w:cs="Tahoma"/>
          <w:sz w:val="20"/>
        </w:rPr>
        <w:t xml:space="preserve">Ativos Elegíveis.  Serão considerados ativos elegíveis para o segmento de renda variável os títulos e valores mobiliários permitidos pela legislação vigente aplicável aos RPPS. Deverão ser observados os limites e categorias de fundos do segmento de renda variável definidos na Resolução CMN </w:t>
      </w:r>
      <w:r w:rsidR="007A0B11" w:rsidRPr="00C02E24">
        <w:rPr>
          <w:rFonts w:ascii="Tahoma" w:hAnsi="Tahoma" w:cs="Tahoma"/>
          <w:sz w:val="20"/>
        </w:rPr>
        <w:t xml:space="preserve">nº </w:t>
      </w:r>
      <w:r w:rsidR="00CB03D4" w:rsidRPr="00C02E24">
        <w:rPr>
          <w:rFonts w:ascii="Tahoma" w:hAnsi="Tahoma" w:cs="Tahoma"/>
          <w:sz w:val="20"/>
        </w:rPr>
        <w:t>4.963/2021</w:t>
      </w:r>
      <w:r w:rsidRPr="00C02E24">
        <w:rPr>
          <w:rFonts w:ascii="Tahoma" w:hAnsi="Tahoma" w:cs="Tahoma"/>
          <w:sz w:val="20"/>
        </w:rPr>
        <w:t xml:space="preserve"> e nesta política anual de investimentos, observando o limite máximo legal de 30% do total dos recursos.</w:t>
      </w:r>
    </w:p>
    <w:p w:rsidR="00465C63" w:rsidRDefault="00465C63" w:rsidP="00AD12FB">
      <w:pPr>
        <w:spacing w:after="120" w:line="240" w:lineRule="auto"/>
        <w:ind w:firstLine="709"/>
        <w:jc w:val="both"/>
        <w:rPr>
          <w:rFonts w:ascii="Tahoma" w:hAnsi="Tahoma" w:cs="Tahoma"/>
          <w:i/>
          <w:sz w:val="20"/>
        </w:rPr>
      </w:pPr>
    </w:p>
    <w:p w:rsidR="00465C63" w:rsidRPr="00E8601E" w:rsidRDefault="00465C63" w:rsidP="00AD12FB">
      <w:pPr>
        <w:spacing w:after="120"/>
        <w:ind w:firstLine="709"/>
        <w:jc w:val="both"/>
        <w:rPr>
          <w:rFonts w:ascii="Tahoma" w:hAnsi="Tahoma" w:cs="Tahoma"/>
          <w:i/>
          <w:sz w:val="20"/>
        </w:rPr>
      </w:pPr>
      <w:r w:rsidRPr="00E8601E">
        <w:rPr>
          <w:rFonts w:ascii="Tahoma" w:hAnsi="Tahoma" w:cs="Tahoma"/>
          <w:i/>
          <w:sz w:val="20"/>
        </w:rPr>
        <w:t xml:space="preserve">Segmento de </w:t>
      </w:r>
      <w:r>
        <w:rPr>
          <w:rFonts w:ascii="Tahoma" w:hAnsi="Tahoma" w:cs="Tahoma"/>
          <w:i/>
          <w:sz w:val="20"/>
        </w:rPr>
        <w:t>Investimento no Exterior</w:t>
      </w:r>
    </w:p>
    <w:p w:rsidR="00465C63" w:rsidRPr="00C02E24" w:rsidRDefault="00465C63" w:rsidP="00AD12FB">
      <w:pPr>
        <w:spacing w:after="120"/>
        <w:ind w:firstLine="709"/>
        <w:jc w:val="both"/>
        <w:rPr>
          <w:rFonts w:ascii="Tahoma" w:hAnsi="Tahoma" w:cs="Tahoma"/>
          <w:sz w:val="20"/>
        </w:rPr>
      </w:pPr>
      <w:r>
        <w:rPr>
          <w:rFonts w:ascii="Tahoma" w:hAnsi="Tahoma" w:cs="Tahoma"/>
          <w:sz w:val="20"/>
        </w:rPr>
        <w:t xml:space="preserve">As </w:t>
      </w:r>
      <w:r w:rsidRPr="00C02E24">
        <w:rPr>
          <w:rFonts w:ascii="Tahoma" w:hAnsi="Tahoma" w:cs="Tahoma"/>
          <w:sz w:val="20"/>
        </w:rPr>
        <w:t>aplicações dos recursos do</w:t>
      </w:r>
      <w:r w:rsidR="00F11F85" w:rsidRPr="00C02E24">
        <w:rPr>
          <w:rFonts w:ascii="Tahoma" w:hAnsi="Tahoma" w:cs="Tahoma"/>
          <w:sz w:val="20"/>
        </w:rPr>
        <w:t xml:space="preserve"> RPPS do</w:t>
      </w:r>
      <w:r w:rsidRPr="00C02E24">
        <w:rPr>
          <w:rFonts w:ascii="Tahoma" w:hAnsi="Tahoma" w:cs="Tahoma"/>
          <w:sz w:val="20"/>
        </w:rPr>
        <w:t xml:space="preserve"> </w:t>
      </w:r>
      <w:r w:rsidR="008F04AC" w:rsidRPr="00C02E24">
        <w:rPr>
          <w:rFonts w:ascii="Tahoma" w:hAnsi="Tahoma" w:cs="Tahoma"/>
          <w:b/>
          <w:noProof/>
          <w:sz w:val="20"/>
        </w:rPr>
        <w:fldChar w:fldCharType="begin"/>
      </w:r>
      <w:r w:rsidR="002670EA" w:rsidRPr="00C02E24">
        <w:rPr>
          <w:rFonts w:ascii="Tahoma" w:hAnsi="Tahoma" w:cs="Tahoma"/>
          <w:b/>
          <w:noProof/>
          <w:sz w:val="20"/>
        </w:rPr>
        <w:instrText xml:space="preserve"> MERGEFIELD RPPS </w:instrText>
      </w:r>
      <w:r w:rsidR="008F04AC" w:rsidRPr="00C02E24">
        <w:rPr>
          <w:rFonts w:ascii="Tahoma" w:hAnsi="Tahoma" w:cs="Tahoma"/>
          <w:b/>
          <w:noProof/>
          <w:sz w:val="20"/>
        </w:rPr>
        <w:fldChar w:fldCharType="separate"/>
      </w:r>
      <w:r w:rsidR="004A232E" w:rsidRPr="00BC514D">
        <w:rPr>
          <w:rFonts w:ascii="Tahoma" w:hAnsi="Tahoma" w:cs="Tahoma"/>
          <w:b/>
          <w:noProof/>
          <w:sz w:val="20"/>
        </w:rPr>
        <w:t>MUNICÍPIO DE ENTRE-IJUÍS</w:t>
      </w:r>
      <w:r w:rsidR="008F04AC" w:rsidRPr="00C02E24">
        <w:rPr>
          <w:rFonts w:ascii="Tahoma" w:hAnsi="Tahoma" w:cs="Tahoma"/>
          <w:b/>
          <w:noProof/>
          <w:sz w:val="20"/>
        </w:rPr>
        <w:fldChar w:fldCharType="end"/>
      </w:r>
      <w:r w:rsidRPr="00C02E24">
        <w:rPr>
          <w:rFonts w:ascii="Tahoma" w:hAnsi="Tahoma" w:cs="Tahoma"/>
          <w:sz w:val="20"/>
        </w:rPr>
        <w:t xml:space="preserve"> subordinam-se ao limite de até 10%.</w:t>
      </w:r>
    </w:p>
    <w:p w:rsidR="00465C63" w:rsidRPr="00C02E24" w:rsidRDefault="00465C63" w:rsidP="00AD12FB">
      <w:pPr>
        <w:spacing w:after="120"/>
        <w:ind w:firstLine="709"/>
        <w:jc w:val="both"/>
        <w:rPr>
          <w:rFonts w:ascii="Tahoma" w:hAnsi="Tahoma" w:cs="Tahoma"/>
          <w:sz w:val="20"/>
        </w:rPr>
      </w:pPr>
      <w:r w:rsidRPr="00C02E24">
        <w:rPr>
          <w:rFonts w:ascii="Tahoma" w:hAnsi="Tahoma" w:cs="Tahoma"/>
          <w:sz w:val="20"/>
        </w:rPr>
        <w:t xml:space="preserve">Ativos Elegíveis. Serão considerados elegíveis para o segmento de investimento no exterior os investimentos classificados como “Renda Fixa – </w:t>
      </w:r>
      <w:r w:rsidR="00C02E24">
        <w:rPr>
          <w:rFonts w:ascii="Tahoma" w:hAnsi="Tahoma" w:cs="Tahoma"/>
          <w:sz w:val="20"/>
        </w:rPr>
        <w:t>“</w:t>
      </w:r>
      <w:r w:rsidRPr="00C02E24">
        <w:rPr>
          <w:rFonts w:ascii="Tahoma" w:hAnsi="Tahoma" w:cs="Tahoma"/>
          <w:sz w:val="20"/>
        </w:rPr>
        <w:t>Dívida Externa</w:t>
      </w:r>
      <w:r w:rsidR="007A0B11" w:rsidRPr="00C02E24">
        <w:rPr>
          <w:rFonts w:ascii="Tahoma" w:hAnsi="Tahoma" w:cs="Tahoma"/>
          <w:sz w:val="20"/>
        </w:rPr>
        <w:t>”</w:t>
      </w:r>
      <w:r w:rsidRPr="00C02E24">
        <w:rPr>
          <w:rFonts w:ascii="Tahoma" w:hAnsi="Tahoma" w:cs="Tahoma"/>
          <w:sz w:val="20"/>
        </w:rPr>
        <w:t>, investimentos constituídos no Brasil sob forma de cond</w:t>
      </w:r>
      <w:r w:rsidR="00EC09AA" w:rsidRPr="00C02E24">
        <w:rPr>
          <w:rFonts w:ascii="Tahoma" w:hAnsi="Tahoma" w:cs="Tahoma"/>
          <w:sz w:val="20"/>
        </w:rPr>
        <w:t>o</w:t>
      </w:r>
      <w:r w:rsidRPr="00C02E24">
        <w:rPr>
          <w:rFonts w:ascii="Tahoma" w:hAnsi="Tahoma" w:cs="Tahoma"/>
          <w:sz w:val="20"/>
        </w:rPr>
        <w:t>mínio aberto com o sufixo “Investimento no Exterior” e cotas dos fundos da classe “Ações – BDR Nível 1”. Deverão ser observados os limites e categorias de fundos do segmento de investimento no Exterior definidos na Resolução CMN</w:t>
      </w:r>
      <w:r w:rsidR="007A0B11" w:rsidRPr="00C02E24">
        <w:rPr>
          <w:rFonts w:ascii="Tahoma" w:hAnsi="Tahoma" w:cs="Tahoma"/>
          <w:sz w:val="20"/>
        </w:rPr>
        <w:t xml:space="preserve"> nº</w:t>
      </w:r>
      <w:r w:rsidRPr="00C02E24">
        <w:rPr>
          <w:rFonts w:ascii="Tahoma" w:hAnsi="Tahoma" w:cs="Tahoma"/>
          <w:sz w:val="20"/>
        </w:rPr>
        <w:t xml:space="preserve"> </w:t>
      </w:r>
      <w:r w:rsidR="00CB03D4" w:rsidRPr="00C02E24">
        <w:rPr>
          <w:rFonts w:ascii="Tahoma" w:hAnsi="Tahoma" w:cs="Tahoma"/>
          <w:sz w:val="20"/>
        </w:rPr>
        <w:t>4.963/2021</w:t>
      </w:r>
      <w:r w:rsidRPr="00C02E24">
        <w:rPr>
          <w:rFonts w:ascii="Tahoma" w:hAnsi="Tahoma" w:cs="Tahoma"/>
          <w:sz w:val="20"/>
        </w:rPr>
        <w:t xml:space="preserve"> e nesta política anual de investimentos.</w:t>
      </w:r>
    </w:p>
    <w:p w:rsidR="00465C63" w:rsidRPr="00C02E24" w:rsidRDefault="00465C63" w:rsidP="00AD12FB">
      <w:pPr>
        <w:spacing w:after="120" w:line="240" w:lineRule="auto"/>
        <w:ind w:firstLine="709"/>
        <w:jc w:val="both"/>
        <w:rPr>
          <w:rFonts w:ascii="Tahoma" w:hAnsi="Tahoma" w:cs="Tahoma"/>
          <w:sz w:val="20"/>
        </w:rPr>
      </w:pPr>
    </w:p>
    <w:p w:rsidR="00465C63" w:rsidRPr="00C02E24" w:rsidRDefault="00465C63" w:rsidP="00AD12FB">
      <w:pPr>
        <w:spacing w:after="120"/>
        <w:ind w:firstLine="709"/>
        <w:jc w:val="both"/>
        <w:outlineLvl w:val="2"/>
        <w:rPr>
          <w:rStyle w:val="nfaseSutil"/>
          <w:sz w:val="20"/>
        </w:rPr>
      </w:pPr>
      <w:bookmarkStart w:id="37" w:name="_Toc181778181"/>
      <w:r w:rsidRPr="00C02E24">
        <w:rPr>
          <w:rStyle w:val="nfaseSutil"/>
          <w:sz w:val="20"/>
        </w:rPr>
        <w:t>Dos Limites Gerais</w:t>
      </w:r>
      <w:bookmarkEnd w:id="37"/>
    </w:p>
    <w:p w:rsidR="00465C63" w:rsidRPr="00C02E24" w:rsidRDefault="00465C63" w:rsidP="00AD12FB">
      <w:pPr>
        <w:spacing w:after="120"/>
        <w:ind w:firstLine="709"/>
        <w:jc w:val="both"/>
        <w:rPr>
          <w:rFonts w:ascii="Tahoma" w:hAnsi="Tahoma" w:cs="Tahoma"/>
          <w:sz w:val="20"/>
        </w:rPr>
      </w:pPr>
      <w:r w:rsidRPr="00C02E24">
        <w:rPr>
          <w:rFonts w:ascii="Tahoma" w:hAnsi="Tahoma" w:cs="Tahoma"/>
          <w:sz w:val="20"/>
        </w:rPr>
        <w:t xml:space="preserve">O percentual máximo dos recursos do RPPS por fundo de investimentos não poderá ultrapassar 20% do patrimônio </w:t>
      </w:r>
      <w:r w:rsidR="007A0B11" w:rsidRPr="00C02E24">
        <w:rPr>
          <w:rFonts w:ascii="Tahoma" w:hAnsi="Tahoma" w:cs="Tahoma"/>
          <w:sz w:val="20"/>
        </w:rPr>
        <w:t>líquido (PL)</w:t>
      </w:r>
      <w:r w:rsidRPr="00C02E24">
        <w:rPr>
          <w:rFonts w:ascii="Tahoma" w:hAnsi="Tahoma" w:cs="Tahoma"/>
          <w:sz w:val="20"/>
        </w:rPr>
        <w:t xml:space="preserve"> do RPPS, com excessão dos Art. 7º, inciso I</w:t>
      </w:r>
      <w:r w:rsidR="0095090B" w:rsidRPr="00C02E24">
        <w:rPr>
          <w:rFonts w:ascii="Tahoma" w:hAnsi="Tahoma" w:cs="Tahoma"/>
          <w:sz w:val="20"/>
        </w:rPr>
        <w:t>, “a” e “b”</w:t>
      </w:r>
      <w:r w:rsidRPr="00C02E24">
        <w:rPr>
          <w:rFonts w:ascii="Tahoma" w:hAnsi="Tahoma" w:cs="Tahoma"/>
          <w:sz w:val="20"/>
        </w:rPr>
        <w:t xml:space="preserve"> que poderá ser alocado 100% do PL do RPPS.</w:t>
      </w:r>
    </w:p>
    <w:p w:rsidR="00465C63" w:rsidRDefault="00465C63" w:rsidP="00AD12FB">
      <w:pPr>
        <w:spacing w:after="120"/>
        <w:ind w:firstLine="709"/>
        <w:jc w:val="both"/>
        <w:rPr>
          <w:rFonts w:ascii="Tahoma" w:hAnsi="Tahoma" w:cs="Tahoma"/>
          <w:sz w:val="20"/>
        </w:rPr>
      </w:pPr>
      <w:r w:rsidRPr="00C02E24">
        <w:rPr>
          <w:rFonts w:ascii="Tahoma" w:hAnsi="Tahoma" w:cs="Tahoma"/>
          <w:sz w:val="20"/>
        </w:rPr>
        <w:t xml:space="preserve">Para os incisos: </w:t>
      </w:r>
      <w:r w:rsidR="0095090B" w:rsidRPr="00C02E24">
        <w:rPr>
          <w:rFonts w:ascii="Tahoma" w:hAnsi="Tahoma" w:cs="Tahoma"/>
          <w:sz w:val="20"/>
        </w:rPr>
        <w:t xml:space="preserve">I - “c” e </w:t>
      </w:r>
      <w:r w:rsidRPr="00C02E24">
        <w:rPr>
          <w:rFonts w:ascii="Tahoma" w:hAnsi="Tahoma" w:cs="Tahoma"/>
          <w:sz w:val="20"/>
        </w:rPr>
        <w:t>III do Artigo 7º, inciso I do art. 8º</w:t>
      </w:r>
      <w:r w:rsidR="0095090B" w:rsidRPr="00C02E24">
        <w:rPr>
          <w:rFonts w:ascii="Tahoma" w:hAnsi="Tahoma" w:cs="Tahoma"/>
          <w:sz w:val="20"/>
        </w:rPr>
        <w:t>,</w:t>
      </w:r>
      <w:r w:rsidRPr="00C02E24">
        <w:rPr>
          <w:rFonts w:ascii="Tahoma" w:hAnsi="Tahoma" w:cs="Tahoma"/>
          <w:sz w:val="20"/>
        </w:rPr>
        <w:t xml:space="preserve"> art. 9º</w:t>
      </w:r>
      <w:r w:rsidR="007A0B11" w:rsidRPr="00C02E24">
        <w:rPr>
          <w:rFonts w:ascii="Tahoma" w:hAnsi="Tahoma" w:cs="Tahoma"/>
          <w:sz w:val="20"/>
        </w:rPr>
        <w:t>,</w:t>
      </w:r>
      <w:r w:rsidR="0095090B" w:rsidRPr="00C02E24">
        <w:rPr>
          <w:rFonts w:ascii="Tahoma" w:hAnsi="Tahoma" w:cs="Tahoma"/>
          <w:sz w:val="20"/>
        </w:rPr>
        <w:t xml:space="preserve"> art. 10º e art. 11º</w:t>
      </w:r>
      <w:r w:rsidRPr="00C02E24">
        <w:rPr>
          <w:rFonts w:ascii="Tahoma" w:hAnsi="Tahoma" w:cs="Tahoma"/>
          <w:sz w:val="20"/>
        </w:rPr>
        <w:t xml:space="preserve"> as aplicações em percentual máximo por PL do fundo de investimento não poderá ultrapassar 15%. No art. 7º, inciso V esse percentual não pode</w:t>
      </w:r>
      <w:r>
        <w:rPr>
          <w:rFonts w:ascii="Tahoma" w:hAnsi="Tahoma" w:cs="Tahoma"/>
          <w:sz w:val="20"/>
        </w:rPr>
        <w:t xml:space="preserve"> ultrapassar 5% do patrimônio do fundo de investimento. </w:t>
      </w:r>
    </w:p>
    <w:p w:rsidR="00465C63" w:rsidRDefault="00465C63" w:rsidP="00AD12FB">
      <w:pPr>
        <w:spacing w:after="120" w:line="240" w:lineRule="auto"/>
        <w:ind w:firstLine="709"/>
        <w:jc w:val="both"/>
        <w:rPr>
          <w:rFonts w:ascii="Tahoma" w:hAnsi="Tahoma" w:cs="Tahoma"/>
          <w:sz w:val="20"/>
        </w:rPr>
      </w:pPr>
    </w:p>
    <w:p w:rsidR="00465C63" w:rsidRPr="00E8601E" w:rsidRDefault="00465C63" w:rsidP="00AD12FB">
      <w:pPr>
        <w:spacing w:after="120"/>
        <w:ind w:firstLine="709"/>
        <w:jc w:val="both"/>
        <w:outlineLvl w:val="2"/>
        <w:rPr>
          <w:rStyle w:val="nfaseSutil"/>
          <w:sz w:val="20"/>
        </w:rPr>
      </w:pPr>
      <w:bookmarkStart w:id="38" w:name="_Toc181778182"/>
      <w:r w:rsidRPr="00E8601E">
        <w:rPr>
          <w:rStyle w:val="nfaseSutil"/>
          <w:sz w:val="20"/>
        </w:rPr>
        <w:t>Da Avaliação de Desempenho das Aplicações</w:t>
      </w:r>
      <w:bookmarkEnd w:id="38"/>
    </w:p>
    <w:p w:rsidR="00465C63" w:rsidRPr="00E8601E" w:rsidRDefault="00465C63" w:rsidP="00AD12FB">
      <w:pPr>
        <w:spacing w:after="120"/>
        <w:ind w:firstLine="709"/>
        <w:jc w:val="both"/>
        <w:rPr>
          <w:rFonts w:ascii="Tahoma" w:hAnsi="Tahoma" w:cs="Tahoma"/>
          <w:sz w:val="20"/>
        </w:rPr>
      </w:pPr>
      <w:r w:rsidRPr="00E8601E">
        <w:rPr>
          <w:rFonts w:ascii="Tahoma" w:hAnsi="Tahoma" w:cs="Tahoma"/>
          <w:sz w:val="20"/>
        </w:rPr>
        <w:t xml:space="preserve">As aplicações serão avaliadas através da elaboração de relatórios mensais, mas acompanhadas pelo gestor diariamente. Mensalmente, elaborar-se-á o relatório de avaliação de desempenho, adotando medidas cabíveis no caso de constatação de desempenho insatisfatório, segundo os objetivos e estratégias da gestão e exposição a riscos acentuados diante de cenários de conjuntura adversa. </w:t>
      </w:r>
    </w:p>
    <w:p w:rsidR="00465C63" w:rsidRPr="00E8601E" w:rsidRDefault="00465C63" w:rsidP="00AD12FB">
      <w:pPr>
        <w:spacing w:after="120"/>
        <w:ind w:firstLine="709"/>
        <w:jc w:val="both"/>
        <w:rPr>
          <w:rFonts w:ascii="Tahoma" w:hAnsi="Tahoma" w:cs="Tahoma"/>
          <w:sz w:val="20"/>
        </w:rPr>
      </w:pPr>
      <w:r w:rsidRPr="00E8601E">
        <w:rPr>
          <w:rFonts w:ascii="Tahoma" w:hAnsi="Tahoma" w:cs="Tahoma"/>
          <w:sz w:val="20"/>
        </w:rPr>
        <w:t xml:space="preserve">Os relatórios de desempenho compreenderão a comparação com os </w:t>
      </w:r>
      <w:r w:rsidR="007A0B11">
        <w:rPr>
          <w:rFonts w:ascii="Tahoma" w:hAnsi="Tahoma" w:cs="Tahoma"/>
          <w:sz w:val="20"/>
        </w:rPr>
        <w:t>principais</w:t>
      </w:r>
      <w:r w:rsidRPr="00E8601E">
        <w:rPr>
          <w:rFonts w:ascii="Tahoma" w:hAnsi="Tahoma" w:cs="Tahoma"/>
          <w:sz w:val="20"/>
        </w:rPr>
        <w:t xml:space="preserve"> índices de mercado, sendo eles: para a renda fixa, os Índices IMA</w:t>
      </w:r>
      <w:r w:rsidR="0020251E">
        <w:rPr>
          <w:rFonts w:ascii="Tahoma" w:hAnsi="Tahoma" w:cs="Tahoma"/>
          <w:sz w:val="20"/>
        </w:rPr>
        <w:t xml:space="preserve"> ou CDI</w:t>
      </w:r>
      <w:r w:rsidRPr="00E8601E">
        <w:rPr>
          <w:rFonts w:ascii="Tahoma" w:hAnsi="Tahoma" w:cs="Tahoma"/>
          <w:sz w:val="20"/>
        </w:rPr>
        <w:t xml:space="preserve"> e para a renda variável, o Ibovespa. A volatilidade da carteira será controlada periodicamente. Para o monitoramento do risco de mercado, utilizar-se-á o cálculo do </w:t>
      </w:r>
      <w:r w:rsidRPr="008927BD">
        <w:rPr>
          <w:rFonts w:ascii="Tahoma" w:hAnsi="Tahoma" w:cs="Tahoma"/>
          <w:i/>
          <w:iCs/>
          <w:sz w:val="20"/>
        </w:rPr>
        <w:t>Value at Risk</w:t>
      </w:r>
      <w:r w:rsidRPr="00E8601E">
        <w:rPr>
          <w:rFonts w:ascii="Tahoma" w:hAnsi="Tahoma" w:cs="Tahoma"/>
          <w:sz w:val="20"/>
        </w:rPr>
        <w:t xml:space="preserve"> (VAR), com um grau de confiança de 95%, que sintetiza a maior perda esperada da carteira em condições normais de mercado.</w:t>
      </w:r>
    </w:p>
    <w:p w:rsidR="00465C63" w:rsidRPr="00E8601E" w:rsidRDefault="00465C63" w:rsidP="00AD12FB">
      <w:pPr>
        <w:spacing w:after="120"/>
        <w:ind w:firstLine="709"/>
        <w:jc w:val="both"/>
        <w:rPr>
          <w:rFonts w:ascii="Tahoma" w:hAnsi="Tahoma" w:cs="Tahoma"/>
          <w:sz w:val="20"/>
        </w:rPr>
      </w:pPr>
      <w:r w:rsidRPr="00E8601E">
        <w:rPr>
          <w:rFonts w:ascii="Tahoma" w:hAnsi="Tahoma" w:cs="Tahoma"/>
          <w:sz w:val="20"/>
        </w:rPr>
        <w:t xml:space="preserve">O RISCO DE CRÉDITO será controlado através da diversificação da carteira, da observação dos limites de crédito para as emissões privadas, pela consideração de classificação de risco das emissões ou dos emissores realizadas por agências classificadoras de risco e pelo monitoramento da exposição ao risco, através do cumprimento diário da </w:t>
      </w:r>
      <w:r w:rsidR="007A0B11">
        <w:rPr>
          <w:rFonts w:ascii="Tahoma" w:hAnsi="Tahoma" w:cs="Tahoma"/>
          <w:sz w:val="20"/>
        </w:rPr>
        <w:t>Política de Investimentos</w:t>
      </w:r>
      <w:r w:rsidRPr="00E8601E">
        <w:rPr>
          <w:rFonts w:ascii="Tahoma" w:hAnsi="Tahoma" w:cs="Tahoma"/>
          <w:sz w:val="20"/>
        </w:rPr>
        <w:t>. O RISCO DE LIQUIDEZ não é preponderante no curto prazo, porém avaliar-se-á a concentração dos investimentos e a liquidez dos ativos financeiros de acordo com as obrigações futuras.</w:t>
      </w:r>
    </w:p>
    <w:p w:rsidR="00465C63" w:rsidRPr="00E8601E" w:rsidRDefault="00465C63" w:rsidP="00AD12FB">
      <w:pPr>
        <w:spacing w:after="120" w:line="240" w:lineRule="auto"/>
        <w:ind w:firstLine="709"/>
        <w:jc w:val="both"/>
        <w:rPr>
          <w:rFonts w:ascii="Tahoma" w:hAnsi="Tahoma" w:cs="Tahoma"/>
          <w:sz w:val="20"/>
        </w:rPr>
      </w:pPr>
    </w:p>
    <w:p w:rsidR="00465C63" w:rsidRPr="00E8601E" w:rsidRDefault="00465C63" w:rsidP="00AD12FB">
      <w:pPr>
        <w:spacing w:after="120"/>
        <w:ind w:firstLine="709"/>
        <w:jc w:val="both"/>
        <w:outlineLvl w:val="2"/>
        <w:rPr>
          <w:rStyle w:val="nfaseSutil"/>
          <w:sz w:val="20"/>
        </w:rPr>
      </w:pPr>
      <w:bookmarkStart w:id="39" w:name="_Toc181778183"/>
      <w:r w:rsidRPr="00E8601E">
        <w:rPr>
          <w:rStyle w:val="nfaseSutil"/>
          <w:sz w:val="20"/>
        </w:rPr>
        <w:t>Dos Riscos de Mercado e Crédito</w:t>
      </w:r>
      <w:bookmarkEnd w:id="39"/>
    </w:p>
    <w:p w:rsidR="00465C63" w:rsidRPr="00E8601E" w:rsidRDefault="00465C63" w:rsidP="00AD12FB">
      <w:pPr>
        <w:spacing w:after="120"/>
        <w:ind w:firstLine="709"/>
        <w:jc w:val="both"/>
        <w:rPr>
          <w:rFonts w:ascii="Tahoma" w:hAnsi="Tahoma" w:cs="Tahoma"/>
          <w:i/>
          <w:sz w:val="20"/>
        </w:rPr>
      </w:pPr>
      <w:r w:rsidRPr="00E8601E">
        <w:rPr>
          <w:rFonts w:ascii="Tahoma" w:hAnsi="Tahoma" w:cs="Tahoma"/>
          <w:i/>
          <w:sz w:val="20"/>
        </w:rPr>
        <w:t>Risco de Mercado</w:t>
      </w:r>
    </w:p>
    <w:p w:rsidR="00465C63" w:rsidRPr="00344EA0" w:rsidRDefault="00465C63" w:rsidP="00AD12FB">
      <w:pPr>
        <w:spacing w:after="120"/>
        <w:ind w:firstLine="709"/>
        <w:jc w:val="both"/>
        <w:rPr>
          <w:rFonts w:ascii="Tahoma" w:hAnsi="Tahoma" w:cs="Tahoma"/>
          <w:sz w:val="20"/>
        </w:rPr>
      </w:pPr>
      <w:r w:rsidRPr="00344EA0">
        <w:rPr>
          <w:rFonts w:ascii="Tahoma" w:hAnsi="Tahoma" w:cs="Tahoma"/>
          <w:sz w:val="20"/>
        </w:rPr>
        <w:t xml:space="preserve">O </w:t>
      </w:r>
      <w:r w:rsidR="008F04AC">
        <w:rPr>
          <w:rFonts w:ascii="Tahoma" w:hAnsi="Tahoma" w:cs="Tahoma"/>
          <w:b/>
          <w:noProof/>
          <w:sz w:val="20"/>
        </w:rPr>
        <w:fldChar w:fldCharType="begin"/>
      </w:r>
      <w:r w:rsidR="002670EA">
        <w:rPr>
          <w:rFonts w:ascii="Tahoma" w:hAnsi="Tahoma" w:cs="Tahoma"/>
          <w:b/>
          <w:noProof/>
          <w:sz w:val="20"/>
        </w:rPr>
        <w:instrText xml:space="preserve"> MERGEFIELD NOME_DO_FUNDO </w:instrText>
      </w:r>
      <w:r w:rsidR="008F04AC">
        <w:rPr>
          <w:rFonts w:ascii="Tahoma" w:hAnsi="Tahoma" w:cs="Tahoma"/>
          <w:b/>
          <w:noProof/>
          <w:sz w:val="20"/>
        </w:rPr>
        <w:fldChar w:fldCharType="separate"/>
      </w:r>
      <w:r w:rsidR="004A232E" w:rsidRPr="00BC514D">
        <w:rPr>
          <w:rFonts w:ascii="Tahoma" w:hAnsi="Tahoma" w:cs="Tahoma"/>
          <w:b/>
          <w:noProof/>
          <w:sz w:val="20"/>
        </w:rPr>
        <w:t>REGIME PRÓPRIO DE PREVIDÊNCIA DO SERVIDOR DE ENTRE-IJUÍS</w:t>
      </w:r>
      <w:r w:rsidR="008F04AC">
        <w:rPr>
          <w:rFonts w:ascii="Tahoma" w:hAnsi="Tahoma" w:cs="Tahoma"/>
          <w:b/>
          <w:noProof/>
          <w:sz w:val="20"/>
        </w:rPr>
        <w:fldChar w:fldCharType="end"/>
      </w:r>
      <w:r w:rsidRPr="00903574">
        <w:rPr>
          <w:rFonts w:ascii="Tahoma" w:hAnsi="Tahoma" w:cs="Tahoma"/>
          <w:b/>
          <w:sz w:val="20"/>
        </w:rPr>
        <w:t xml:space="preserve"> </w:t>
      </w:r>
      <w:r w:rsidRPr="00344EA0">
        <w:rPr>
          <w:rFonts w:ascii="Tahoma" w:hAnsi="Tahoma" w:cs="Tahoma"/>
          <w:sz w:val="20"/>
        </w:rPr>
        <w:t xml:space="preserve">adotará o </w:t>
      </w:r>
      <w:r w:rsidRPr="008927BD">
        <w:rPr>
          <w:rFonts w:ascii="Tahoma" w:hAnsi="Tahoma" w:cs="Tahoma"/>
          <w:i/>
          <w:iCs/>
          <w:sz w:val="20"/>
        </w:rPr>
        <w:t>Value-at-Risk</w:t>
      </w:r>
      <w:r w:rsidRPr="00344EA0">
        <w:rPr>
          <w:rFonts w:ascii="Tahoma" w:hAnsi="Tahoma" w:cs="Tahoma"/>
          <w:sz w:val="20"/>
        </w:rPr>
        <w:t xml:space="preserve"> (VaR) para controle do risco de mercado, utilizando os seguintes parâmetros para o cálculo do mesmo: modelo não paramétrico, intervalo de confiança de 95% e horizonte de tempo de 21 dias úteis. Segue</w:t>
      </w:r>
      <w:r w:rsidR="008927BD">
        <w:rPr>
          <w:rFonts w:ascii="Tahoma" w:hAnsi="Tahoma" w:cs="Tahoma"/>
          <w:sz w:val="20"/>
        </w:rPr>
        <w:t>m</w:t>
      </w:r>
      <w:r w:rsidRPr="00344EA0">
        <w:rPr>
          <w:rFonts w:ascii="Tahoma" w:hAnsi="Tahoma" w:cs="Tahoma"/>
          <w:sz w:val="20"/>
        </w:rPr>
        <w:t xml:space="preserve"> os limites de VaR definidos por segmento: segmento de renda fixa: </w:t>
      </w:r>
      <w:r w:rsidRPr="00D1268C">
        <w:rPr>
          <w:rFonts w:ascii="Tahoma" w:hAnsi="Tahoma" w:cs="Tahoma"/>
          <w:sz w:val="20"/>
        </w:rPr>
        <w:t>4,00%; segmento de renda variável: 20,00%.</w:t>
      </w:r>
    </w:p>
    <w:p w:rsidR="00750C64" w:rsidRDefault="00750C64" w:rsidP="00AD12FB">
      <w:pPr>
        <w:spacing w:after="120"/>
        <w:ind w:firstLine="709"/>
        <w:jc w:val="both"/>
        <w:rPr>
          <w:rFonts w:ascii="Tahoma" w:hAnsi="Tahoma" w:cs="Tahoma"/>
          <w:i/>
          <w:sz w:val="20"/>
        </w:rPr>
      </w:pPr>
    </w:p>
    <w:p w:rsidR="00465C63" w:rsidRPr="00344EA0" w:rsidRDefault="00465C63" w:rsidP="00AD12FB">
      <w:pPr>
        <w:spacing w:after="120"/>
        <w:ind w:firstLine="709"/>
        <w:jc w:val="both"/>
        <w:rPr>
          <w:rFonts w:ascii="Tahoma" w:hAnsi="Tahoma" w:cs="Tahoma"/>
          <w:i/>
          <w:sz w:val="20"/>
        </w:rPr>
      </w:pPr>
      <w:r w:rsidRPr="00344EA0">
        <w:rPr>
          <w:rFonts w:ascii="Tahoma" w:hAnsi="Tahoma" w:cs="Tahoma"/>
          <w:i/>
          <w:sz w:val="20"/>
        </w:rPr>
        <w:t>Risco de Crédito</w:t>
      </w:r>
    </w:p>
    <w:p w:rsidR="00465C63" w:rsidRPr="00E8601E" w:rsidRDefault="00465C63" w:rsidP="00AD12FB">
      <w:pPr>
        <w:spacing w:after="120"/>
        <w:ind w:firstLine="709"/>
        <w:jc w:val="both"/>
        <w:rPr>
          <w:rFonts w:ascii="Tahoma" w:hAnsi="Tahoma" w:cs="Tahoma"/>
          <w:sz w:val="20"/>
        </w:rPr>
      </w:pPr>
      <w:r w:rsidRPr="00344EA0">
        <w:rPr>
          <w:rFonts w:ascii="Tahoma" w:hAnsi="Tahoma" w:cs="Tahoma"/>
          <w:sz w:val="20"/>
        </w:rPr>
        <w:t xml:space="preserve">Acerca do risco de crédito, o </w:t>
      </w:r>
      <w:r w:rsidR="008F04AC">
        <w:rPr>
          <w:rFonts w:ascii="Tahoma" w:hAnsi="Tahoma" w:cs="Tahoma"/>
          <w:b/>
          <w:noProof/>
          <w:sz w:val="20"/>
        </w:rPr>
        <w:fldChar w:fldCharType="begin"/>
      </w:r>
      <w:r w:rsidR="002670EA">
        <w:rPr>
          <w:rFonts w:ascii="Tahoma" w:hAnsi="Tahoma" w:cs="Tahoma"/>
          <w:b/>
          <w:noProof/>
          <w:sz w:val="20"/>
        </w:rPr>
        <w:instrText xml:space="preserve"> MERGEFIELD NOME_DO_FUNDO </w:instrText>
      </w:r>
      <w:r w:rsidR="008F04AC">
        <w:rPr>
          <w:rFonts w:ascii="Tahoma" w:hAnsi="Tahoma" w:cs="Tahoma"/>
          <w:b/>
          <w:noProof/>
          <w:sz w:val="20"/>
        </w:rPr>
        <w:fldChar w:fldCharType="separate"/>
      </w:r>
      <w:r w:rsidR="004A232E" w:rsidRPr="00BC514D">
        <w:rPr>
          <w:rFonts w:ascii="Tahoma" w:hAnsi="Tahoma" w:cs="Tahoma"/>
          <w:b/>
          <w:noProof/>
          <w:sz w:val="20"/>
        </w:rPr>
        <w:t>REGIME PRÓPRIO DE PREVIDÊNCIA DO SERVIDOR DE ENTRE-IJUÍS</w:t>
      </w:r>
      <w:r w:rsidR="008F04AC">
        <w:rPr>
          <w:rFonts w:ascii="Tahoma" w:hAnsi="Tahoma" w:cs="Tahoma"/>
          <w:b/>
          <w:noProof/>
          <w:sz w:val="20"/>
        </w:rPr>
        <w:fldChar w:fldCharType="end"/>
      </w:r>
      <w:r w:rsidRPr="00344EA0">
        <w:rPr>
          <w:rFonts w:ascii="Tahoma" w:hAnsi="Tahoma" w:cs="Tahoma"/>
          <w:sz w:val="20"/>
        </w:rPr>
        <w:t xml:space="preserve"> deverá considerar o parâmetro mínimo de qualidade média de dívida para aceitação de investimentos pelo </w:t>
      </w:r>
      <w:r w:rsidR="00F53C5D">
        <w:rPr>
          <w:rFonts w:ascii="Tahoma" w:hAnsi="Tahoma" w:cs="Tahoma"/>
          <w:sz w:val="20"/>
        </w:rPr>
        <w:t>Regime Próprio de Previdência Social</w:t>
      </w:r>
      <w:r w:rsidRPr="00344EA0">
        <w:rPr>
          <w:rFonts w:ascii="Tahoma" w:hAnsi="Tahoma" w:cs="Tahoma"/>
          <w:sz w:val="20"/>
        </w:rPr>
        <w:t xml:space="preserve"> do </w:t>
      </w:r>
      <w:r w:rsidR="008F04AC">
        <w:rPr>
          <w:rFonts w:ascii="Tahoma" w:hAnsi="Tahoma" w:cs="Tahoma"/>
          <w:b/>
          <w:noProof/>
          <w:sz w:val="20"/>
        </w:rPr>
        <w:fldChar w:fldCharType="begin"/>
      </w:r>
      <w:r w:rsidR="002670EA">
        <w:rPr>
          <w:rFonts w:ascii="Tahoma" w:hAnsi="Tahoma" w:cs="Tahoma"/>
          <w:b/>
          <w:noProof/>
          <w:sz w:val="20"/>
        </w:rPr>
        <w:instrText xml:space="preserve"> MERGEFIELD RPPS </w:instrText>
      </w:r>
      <w:r w:rsidR="008F04AC">
        <w:rPr>
          <w:rFonts w:ascii="Tahoma" w:hAnsi="Tahoma" w:cs="Tahoma"/>
          <w:b/>
          <w:noProof/>
          <w:sz w:val="20"/>
        </w:rPr>
        <w:fldChar w:fldCharType="separate"/>
      </w:r>
      <w:r w:rsidR="004A232E" w:rsidRPr="00BC514D">
        <w:rPr>
          <w:rFonts w:ascii="Tahoma" w:hAnsi="Tahoma" w:cs="Tahoma"/>
          <w:b/>
          <w:noProof/>
          <w:sz w:val="20"/>
        </w:rPr>
        <w:t>MUNICÍPIO DE ENTRE-IJUÍS</w:t>
      </w:r>
      <w:r w:rsidR="008F04AC">
        <w:rPr>
          <w:rFonts w:ascii="Tahoma" w:hAnsi="Tahoma" w:cs="Tahoma"/>
          <w:b/>
          <w:noProof/>
          <w:sz w:val="20"/>
        </w:rPr>
        <w:fldChar w:fldCharType="end"/>
      </w:r>
      <w:r w:rsidRPr="00344EA0">
        <w:rPr>
          <w:rFonts w:ascii="Tahoma" w:hAnsi="Tahoma" w:cs="Tahoma"/>
          <w:sz w:val="20"/>
        </w:rPr>
        <w:t xml:space="preserve"> ou parâmetros correspondentes fundamentados por documento de análise de crédito de empresa de classificação de risco reconhecida. </w:t>
      </w:r>
    </w:p>
    <w:p w:rsidR="00465C63" w:rsidRDefault="00465C63" w:rsidP="00AD12FB">
      <w:pPr>
        <w:spacing w:after="120"/>
        <w:ind w:firstLine="709"/>
        <w:jc w:val="both"/>
        <w:outlineLvl w:val="2"/>
        <w:rPr>
          <w:rStyle w:val="nfaseSutil"/>
          <w:sz w:val="20"/>
        </w:rPr>
      </w:pPr>
    </w:p>
    <w:p w:rsidR="00465C63" w:rsidRPr="005719FA" w:rsidRDefault="00465C63" w:rsidP="00AD12FB">
      <w:pPr>
        <w:spacing w:after="120"/>
        <w:ind w:firstLine="709"/>
        <w:jc w:val="both"/>
        <w:outlineLvl w:val="2"/>
        <w:rPr>
          <w:rStyle w:val="nfaseSutil"/>
          <w:sz w:val="20"/>
        </w:rPr>
      </w:pPr>
      <w:bookmarkStart w:id="40" w:name="_Toc181778184"/>
      <w:r>
        <w:rPr>
          <w:rStyle w:val="nfaseSutil"/>
          <w:sz w:val="20"/>
        </w:rPr>
        <w:t xml:space="preserve">Do </w:t>
      </w:r>
      <w:r w:rsidRPr="005719FA">
        <w:rPr>
          <w:rStyle w:val="nfaseSutil"/>
          <w:sz w:val="20"/>
        </w:rPr>
        <w:t>Credenciamento</w:t>
      </w:r>
      <w:bookmarkEnd w:id="40"/>
    </w:p>
    <w:p w:rsidR="00465C63" w:rsidRPr="00E8601E" w:rsidRDefault="00465C63" w:rsidP="00AD12FB">
      <w:pPr>
        <w:spacing w:after="120"/>
        <w:ind w:firstLine="709"/>
        <w:jc w:val="both"/>
        <w:rPr>
          <w:rFonts w:ascii="Tahoma" w:hAnsi="Tahoma" w:cs="Tahoma"/>
          <w:sz w:val="20"/>
        </w:rPr>
      </w:pPr>
      <w:r w:rsidRPr="00C02E24">
        <w:rPr>
          <w:rFonts w:ascii="Tahoma" w:hAnsi="Tahoma" w:cs="Tahoma"/>
          <w:sz w:val="20"/>
        </w:rPr>
        <w:t xml:space="preserve">O </w:t>
      </w:r>
      <w:r w:rsidR="008F04AC" w:rsidRPr="00C02E24">
        <w:rPr>
          <w:rFonts w:ascii="Tahoma" w:hAnsi="Tahoma" w:cs="Tahoma"/>
          <w:b/>
          <w:noProof/>
          <w:sz w:val="20"/>
        </w:rPr>
        <w:fldChar w:fldCharType="begin"/>
      </w:r>
      <w:r w:rsidR="002670EA" w:rsidRPr="00C02E24">
        <w:rPr>
          <w:rFonts w:ascii="Tahoma" w:hAnsi="Tahoma" w:cs="Tahoma"/>
          <w:b/>
          <w:noProof/>
          <w:sz w:val="20"/>
        </w:rPr>
        <w:instrText xml:space="preserve"> MERGEFIELD NOME_DO_FUNDO </w:instrText>
      </w:r>
      <w:r w:rsidR="008F04AC" w:rsidRPr="00C02E24">
        <w:rPr>
          <w:rFonts w:ascii="Tahoma" w:hAnsi="Tahoma" w:cs="Tahoma"/>
          <w:b/>
          <w:noProof/>
          <w:sz w:val="20"/>
        </w:rPr>
        <w:fldChar w:fldCharType="separate"/>
      </w:r>
      <w:r w:rsidR="004A232E" w:rsidRPr="00BC514D">
        <w:rPr>
          <w:rFonts w:ascii="Tahoma" w:hAnsi="Tahoma" w:cs="Tahoma"/>
          <w:b/>
          <w:noProof/>
          <w:sz w:val="20"/>
        </w:rPr>
        <w:t>REGIME PRÓPRIO DE PREVIDÊNCIA DO SERVIDOR DE ENTRE-IJUÍS</w:t>
      </w:r>
      <w:r w:rsidR="008F04AC" w:rsidRPr="00C02E24">
        <w:rPr>
          <w:rFonts w:ascii="Tahoma" w:hAnsi="Tahoma" w:cs="Tahoma"/>
          <w:b/>
          <w:noProof/>
          <w:sz w:val="20"/>
        </w:rPr>
        <w:fldChar w:fldCharType="end"/>
      </w:r>
      <w:bookmarkStart w:id="41" w:name="_Hlk181376018"/>
      <w:r w:rsidRPr="00C02E24">
        <w:rPr>
          <w:rFonts w:ascii="Tahoma" w:hAnsi="Tahoma" w:cs="Tahoma"/>
          <w:b/>
          <w:sz w:val="20"/>
        </w:rPr>
        <w:t xml:space="preserve"> </w:t>
      </w:r>
      <w:r w:rsidRPr="00C02E24">
        <w:rPr>
          <w:rFonts w:ascii="Tahoma" w:hAnsi="Tahoma" w:cs="Tahoma"/>
          <w:sz w:val="20"/>
        </w:rPr>
        <w:t>no ano de 202</w:t>
      </w:r>
      <w:r w:rsidR="00946F98">
        <w:rPr>
          <w:rFonts w:ascii="Tahoma" w:hAnsi="Tahoma" w:cs="Tahoma"/>
          <w:sz w:val="20"/>
        </w:rPr>
        <w:t>4</w:t>
      </w:r>
      <w:r w:rsidRPr="00C02E24">
        <w:rPr>
          <w:rFonts w:ascii="Tahoma" w:hAnsi="Tahoma" w:cs="Tahoma"/>
          <w:sz w:val="20"/>
        </w:rPr>
        <w:t xml:space="preserve"> está adequado as medidas necessárias para colocar em prática o Termo de Análise de Credenciamento e o </w:t>
      </w:r>
      <w:r w:rsidR="00333690" w:rsidRPr="00C02E24">
        <w:rPr>
          <w:rFonts w:ascii="Tahoma" w:hAnsi="Tahoma" w:cs="Tahoma"/>
          <w:sz w:val="20"/>
        </w:rPr>
        <w:t>Termo de Declaração</w:t>
      </w:r>
      <w:r w:rsidR="007A0B11" w:rsidRPr="00C02E24">
        <w:rPr>
          <w:rFonts w:ascii="Tahoma" w:hAnsi="Tahoma" w:cs="Tahoma"/>
          <w:sz w:val="20"/>
        </w:rPr>
        <w:t>,</w:t>
      </w:r>
      <w:r w:rsidR="00333690" w:rsidRPr="00C02E24">
        <w:rPr>
          <w:rFonts w:ascii="Tahoma" w:hAnsi="Tahoma" w:cs="Tahoma"/>
          <w:sz w:val="20"/>
        </w:rPr>
        <w:t xml:space="preserve"> </w:t>
      </w:r>
      <w:r w:rsidRPr="00C02E24">
        <w:rPr>
          <w:rFonts w:ascii="Tahoma" w:hAnsi="Tahoma" w:cs="Tahoma"/>
          <w:sz w:val="20"/>
        </w:rPr>
        <w:t xml:space="preserve">que tem por finalidade credenciar instituições </w:t>
      </w:r>
      <w:r w:rsidR="00333690" w:rsidRPr="00C02E24">
        <w:rPr>
          <w:rFonts w:ascii="Tahoma" w:hAnsi="Tahoma" w:cs="Tahoma"/>
          <w:sz w:val="20"/>
        </w:rPr>
        <w:t xml:space="preserve">financeiras </w:t>
      </w:r>
      <w:r w:rsidRPr="00C02E24">
        <w:rPr>
          <w:rFonts w:ascii="Tahoma" w:hAnsi="Tahoma" w:cs="Tahoma"/>
          <w:sz w:val="20"/>
        </w:rPr>
        <w:t>e</w:t>
      </w:r>
      <w:r w:rsidR="00333690" w:rsidRPr="00C02E24">
        <w:rPr>
          <w:rFonts w:ascii="Tahoma" w:hAnsi="Tahoma" w:cs="Tahoma"/>
          <w:sz w:val="20"/>
        </w:rPr>
        <w:t>, após, os gestores do RPPS do “</w:t>
      </w:r>
      <w:r w:rsidR="00333690" w:rsidRPr="00C02E24">
        <w:rPr>
          <w:rFonts w:ascii="Tahoma" w:hAnsi="Tahoma" w:cs="Tahoma"/>
          <w:b/>
          <w:bCs/>
          <w:sz w:val="20"/>
        </w:rPr>
        <w:t>RPPS</w:t>
      </w:r>
      <w:r w:rsidR="00333690" w:rsidRPr="00C02E24">
        <w:rPr>
          <w:rFonts w:ascii="Tahoma" w:hAnsi="Tahoma" w:cs="Tahoma"/>
          <w:sz w:val="20"/>
        </w:rPr>
        <w:t>”</w:t>
      </w:r>
      <w:r w:rsidRPr="00C02E24">
        <w:rPr>
          <w:rFonts w:ascii="Tahoma" w:hAnsi="Tahoma" w:cs="Tahoma"/>
          <w:sz w:val="20"/>
        </w:rPr>
        <w:t xml:space="preserve"> </w:t>
      </w:r>
      <w:r w:rsidR="00333690" w:rsidRPr="00C02E24">
        <w:rPr>
          <w:rFonts w:ascii="Tahoma" w:hAnsi="Tahoma" w:cs="Tahoma"/>
          <w:sz w:val="20"/>
        </w:rPr>
        <w:t>pode</w:t>
      </w:r>
      <w:r w:rsidR="00C02E24" w:rsidRPr="00C02E24">
        <w:rPr>
          <w:rFonts w:ascii="Tahoma" w:hAnsi="Tahoma" w:cs="Tahoma"/>
          <w:sz w:val="20"/>
        </w:rPr>
        <w:t xml:space="preserve">rão </w:t>
      </w:r>
      <w:r w:rsidR="00333690" w:rsidRPr="00C02E24">
        <w:rPr>
          <w:rFonts w:ascii="Tahoma" w:hAnsi="Tahoma" w:cs="Tahoma"/>
          <w:sz w:val="20"/>
        </w:rPr>
        <w:t xml:space="preserve">analisar os </w:t>
      </w:r>
      <w:r w:rsidRPr="00C02E24">
        <w:rPr>
          <w:rFonts w:ascii="Tahoma" w:hAnsi="Tahoma" w:cs="Tahoma"/>
          <w:sz w:val="20"/>
        </w:rPr>
        <w:t>veículos para receber</w:t>
      </w:r>
      <w:r w:rsidR="00333690" w:rsidRPr="00C02E24">
        <w:rPr>
          <w:rFonts w:ascii="Tahoma" w:hAnsi="Tahoma" w:cs="Tahoma"/>
          <w:sz w:val="20"/>
        </w:rPr>
        <w:t>em</w:t>
      </w:r>
      <w:r w:rsidRPr="00C02E24">
        <w:rPr>
          <w:rFonts w:ascii="Tahoma" w:hAnsi="Tahoma" w:cs="Tahoma"/>
          <w:sz w:val="20"/>
        </w:rPr>
        <w:t xml:space="preserve"> as aplicações dos recursos.</w:t>
      </w:r>
    </w:p>
    <w:p w:rsidR="00465C63" w:rsidRPr="00C02E24" w:rsidRDefault="00465C63" w:rsidP="00AD12FB">
      <w:pPr>
        <w:spacing w:after="120"/>
        <w:ind w:firstLine="709"/>
        <w:jc w:val="both"/>
        <w:rPr>
          <w:rFonts w:ascii="Tahoma" w:hAnsi="Tahoma" w:cs="Tahoma"/>
          <w:sz w:val="20"/>
        </w:rPr>
      </w:pPr>
      <w:r w:rsidRPr="00E8601E">
        <w:rPr>
          <w:rFonts w:ascii="Tahoma" w:hAnsi="Tahoma" w:cs="Tahoma"/>
          <w:sz w:val="20"/>
        </w:rPr>
        <w:t xml:space="preserve">O objetivo é trazer uma maior uniformidade e racionalização do processo de credenciamento pelos gestores de RPPS, com a definição, por exemplo, de um padrão mínimo de informações a serem </w:t>
      </w:r>
      <w:r w:rsidRPr="00E8601E">
        <w:rPr>
          <w:rFonts w:ascii="Tahoma" w:hAnsi="Tahoma" w:cs="Tahoma"/>
          <w:sz w:val="20"/>
        </w:rPr>
        <w:lastRenderedPageBreak/>
        <w:t xml:space="preserve">analisadas e diminuição dos documentos em papel que compõem o processo de análise. Essas orientações foram definidas pela </w:t>
      </w:r>
      <w:r w:rsidRPr="001330B1">
        <w:rPr>
          <w:rFonts w:ascii="Tahoma" w:hAnsi="Tahoma" w:cs="Tahoma"/>
          <w:sz w:val="20"/>
        </w:rPr>
        <w:t>Portaria MPS nº 300/2015</w:t>
      </w:r>
      <w:r w:rsidRPr="00E8601E">
        <w:rPr>
          <w:rFonts w:ascii="Tahoma" w:hAnsi="Tahoma" w:cs="Tahoma"/>
          <w:sz w:val="20"/>
        </w:rPr>
        <w:t xml:space="preserve">, que previu a obrigatoriedade de registro da análise dos requisitos no “Termo de Análise de Credenciamento”, </w:t>
      </w:r>
      <w:r w:rsidR="00750C64" w:rsidRPr="00750C64">
        <w:rPr>
          <w:rFonts w:ascii="Tahoma" w:hAnsi="Tahoma" w:cs="Tahoma"/>
          <w:sz w:val="20"/>
        </w:rPr>
        <w:t>e da decisão de credenciamento no “</w:t>
      </w:r>
      <w:r w:rsidR="00333690">
        <w:rPr>
          <w:rFonts w:ascii="Tahoma" w:hAnsi="Tahoma" w:cs="Tahoma"/>
          <w:sz w:val="20"/>
        </w:rPr>
        <w:t>Termo</w:t>
      </w:r>
      <w:r w:rsidR="00750C64" w:rsidRPr="00750C64">
        <w:rPr>
          <w:rFonts w:ascii="Tahoma" w:hAnsi="Tahoma" w:cs="Tahoma"/>
          <w:sz w:val="20"/>
        </w:rPr>
        <w:t xml:space="preserve"> de </w:t>
      </w:r>
      <w:r w:rsidR="00333690">
        <w:rPr>
          <w:rFonts w:ascii="Tahoma" w:hAnsi="Tahoma" w:cs="Tahoma"/>
          <w:sz w:val="20"/>
        </w:rPr>
        <w:t>Declaração</w:t>
      </w:r>
      <w:r w:rsidR="00750C64" w:rsidRPr="00750C64">
        <w:rPr>
          <w:rFonts w:ascii="Tahoma" w:hAnsi="Tahoma" w:cs="Tahoma"/>
          <w:sz w:val="20"/>
        </w:rPr>
        <w:t xml:space="preserve">”. Ainda, </w:t>
      </w:r>
      <w:r w:rsidR="009134DA">
        <w:rPr>
          <w:rFonts w:ascii="Tahoma" w:hAnsi="Tahoma" w:cs="Tahoma"/>
          <w:sz w:val="20"/>
        </w:rPr>
        <w:t xml:space="preserve">a necessidade de credenciamento e acompanhamento foram previstas no </w:t>
      </w:r>
      <w:r w:rsidR="009134DA" w:rsidRPr="00C02E24">
        <w:rPr>
          <w:rFonts w:ascii="Tahoma" w:hAnsi="Tahoma" w:cs="Tahoma"/>
          <w:sz w:val="20"/>
        </w:rPr>
        <w:t xml:space="preserve">art. 1º da Resolução CMN </w:t>
      </w:r>
      <w:r w:rsidR="007A0B11" w:rsidRPr="00C02E24">
        <w:rPr>
          <w:rFonts w:ascii="Tahoma" w:hAnsi="Tahoma" w:cs="Tahoma"/>
          <w:sz w:val="20"/>
        </w:rPr>
        <w:t xml:space="preserve">nº </w:t>
      </w:r>
      <w:r w:rsidR="009134DA" w:rsidRPr="00C02E24">
        <w:rPr>
          <w:rFonts w:ascii="Tahoma" w:hAnsi="Tahoma" w:cs="Tahoma"/>
          <w:sz w:val="20"/>
        </w:rPr>
        <w:t>4.963/2021 e</w:t>
      </w:r>
      <w:r w:rsidR="00750C64" w:rsidRPr="00C02E24">
        <w:rPr>
          <w:rFonts w:ascii="Tahoma" w:hAnsi="Tahoma" w:cs="Tahoma"/>
          <w:sz w:val="20"/>
        </w:rPr>
        <w:t xml:space="preserve"> da Portaria M</w:t>
      </w:r>
      <w:r w:rsidR="00946F98">
        <w:rPr>
          <w:rFonts w:ascii="Tahoma" w:hAnsi="Tahoma" w:cs="Tahoma"/>
          <w:sz w:val="20"/>
        </w:rPr>
        <w:t>TP</w:t>
      </w:r>
      <w:r w:rsidR="007A0B11" w:rsidRPr="00C02E24">
        <w:rPr>
          <w:rFonts w:ascii="Tahoma" w:hAnsi="Tahoma" w:cs="Tahoma"/>
          <w:sz w:val="20"/>
        </w:rPr>
        <w:t xml:space="preserve"> nº</w:t>
      </w:r>
      <w:r w:rsidR="00750C64" w:rsidRPr="00C02E24">
        <w:rPr>
          <w:rFonts w:ascii="Tahoma" w:hAnsi="Tahoma" w:cs="Tahoma"/>
          <w:sz w:val="20"/>
        </w:rPr>
        <w:t xml:space="preserve"> </w:t>
      </w:r>
      <w:r w:rsidR="001330B1" w:rsidRPr="00C02E24">
        <w:rPr>
          <w:rFonts w:ascii="Tahoma" w:hAnsi="Tahoma" w:cs="Tahoma"/>
          <w:sz w:val="20"/>
        </w:rPr>
        <w:t>1.467/2022</w:t>
      </w:r>
      <w:r w:rsidR="00333690" w:rsidRPr="00C02E24">
        <w:rPr>
          <w:rFonts w:ascii="Tahoma" w:hAnsi="Tahoma" w:cs="Tahoma"/>
          <w:sz w:val="20"/>
        </w:rPr>
        <w:t xml:space="preserve"> (do art. 103 ao 106)</w:t>
      </w:r>
      <w:r w:rsidRPr="00C02E24">
        <w:rPr>
          <w:rFonts w:ascii="Tahoma" w:hAnsi="Tahoma" w:cs="Tahoma"/>
          <w:sz w:val="20"/>
        </w:rPr>
        <w:t>.</w:t>
      </w:r>
    </w:p>
    <w:p w:rsidR="00465C63" w:rsidRDefault="00465C63" w:rsidP="00AD12FB">
      <w:pPr>
        <w:spacing w:after="120"/>
        <w:ind w:firstLine="709"/>
        <w:jc w:val="both"/>
        <w:rPr>
          <w:rFonts w:ascii="Tahoma" w:hAnsi="Tahoma" w:cs="Tahoma"/>
          <w:sz w:val="20"/>
        </w:rPr>
      </w:pPr>
      <w:r w:rsidRPr="00C02E24">
        <w:rPr>
          <w:rFonts w:ascii="Tahoma" w:hAnsi="Tahoma" w:cs="Tahoma"/>
          <w:sz w:val="20"/>
        </w:rPr>
        <w:t>A medida também busca assegurar as condições de segurança, rentabilidade, solvência e liquidez de que trata a Resolução CMN</w:t>
      </w:r>
      <w:r w:rsidR="007A0B11" w:rsidRPr="00C02E24">
        <w:rPr>
          <w:rFonts w:ascii="Tahoma" w:hAnsi="Tahoma" w:cs="Tahoma"/>
          <w:sz w:val="20"/>
        </w:rPr>
        <w:t xml:space="preserve"> nº</w:t>
      </w:r>
      <w:r w:rsidRPr="00C02E24">
        <w:rPr>
          <w:rFonts w:ascii="Tahoma" w:hAnsi="Tahoma" w:cs="Tahoma"/>
          <w:sz w:val="20"/>
        </w:rPr>
        <w:t xml:space="preserve"> </w:t>
      </w:r>
      <w:r w:rsidR="009134DA" w:rsidRPr="00C02E24">
        <w:rPr>
          <w:rFonts w:ascii="Tahoma" w:hAnsi="Tahoma" w:cs="Tahoma"/>
          <w:sz w:val="20"/>
        </w:rPr>
        <w:t>4.963/2021</w:t>
      </w:r>
      <w:r w:rsidRPr="00C02E24">
        <w:rPr>
          <w:rFonts w:ascii="Tahoma" w:hAnsi="Tahoma" w:cs="Tahoma"/>
          <w:sz w:val="20"/>
        </w:rPr>
        <w:t>, conferindo transparência à análise pelo gestor de recursos do RPPS dos veículos de investimento aptos a receber as aplicações dos RPPS, por meio das informações relativas às instituições responsáveis por sua administração e gestão, considerando o histórico, experiência, estrutura e padrão ético dessas instituições e</w:t>
      </w:r>
      <w:r w:rsidRPr="00E8601E">
        <w:rPr>
          <w:rFonts w:ascii="Tahoma" w:hAnsi="Tahoma" w:cs="Tahoma"/>
          <w:sz w:val="20"/>
        </w:rPr>
        <w:t xml:space="preserve"> a rentabilidade e os riscos de cada aplicação.</w:t>
      </w:r>
    </w:p>
    <w:p w:rsidR="001330B1" w:rsidRPr="00D1268C" w:rsidRDefault="001330B1" w:rsidP="00AD12FB">
      <w:pPr>
        <w:spacing w:after="120"/>
        <w:ind w:firstLine="709"/>
        <w:jc w:val="both"/>
        <w:rPr>
          <w:rFonts w:ascii="Tahoma" w:hAnsi="Tahoma" w:cs="Tahoma"/>
          <w:sz w:val="20"/>
          <w:u w:val="single"/>
        </w:rPr>
      </w:pPr>
      <w:r w:rsidRPr="00C02E24">
        <w:rPr>
          <w:rFonts w:ascii="Tahoma" w:hAnsi="Tahoma" w:cs="Tahoma"/>
          <w:sz w:val="20"/>
          <w:u w:val="single"/>
        </w:rPr>
        <w:t>PARÂMETROS</w:t>
      </w:r>
      <w:r w:rsidR="00D1268C" w:rsidRPr="00C02E24">
        <w:rPr>
          <w:rFonts w:ascii="Tahoma" w:hAnsi="Tahoma" w:cs="Tahoma"/>
          <w:sz w:val="20"/>
          <w:u w:val="single"/>
        </w:rPr>
        <w:t xml:space="preserve"> MÍNIMOS DA</w:t>
      </w:r>
      <w:r w:rsidRPr="00C02E24">
        <w:rPr>
          <w:rFonts w:ascii="Tahoma" w:hAnsi="Tahoma" w:cs="Tahoma"/>
          <w:sz w:val="20"/>
          <w:u w:val="single"/>
        </w:rPr>
        <w:t xml:space="preserve"> PORTARIA MTP</w:t>
      </w:r>
      <w:r w:rsidR="007A0B11" w:rsidRPr="00C02E24">
        <w:rPr>
          <w:rFonts w:ascii="Tahoma" w:hAnsi="Tahoma" w:cs="Tahoma"/>
          <w:sz w:val="20"/>
          <w:u w:val="single"/>
        </w:rPr>
        <w:t xml:space="preserve"> nº</w:t>
      </w:r>
      <w:r w:rsidRPr="00C02E24">
        <w:rPr>
          <w:rFonts w:ascii="Tahoma" w:hAnsi="Tahoma" w:cs="Tahoma"/>
          <w:sz w:val="20"/>
          <w:u w:val="single"/>
        </w:rPr>
        <w:t xml:space="preserve"> 1.467/2022 PARA CREDENCIAMENTO</w:t>
      </w:r>
    </w:p>
    <w:p w:rsidR="001330B1" w:rsidRPr="00D1268C" w:rsidRDefault="001330B1" w:rsidP="00AD12FB">
      <w:pPr>
        <w:pStyle w:val="PargrafodaLista"/>
        <w:numPr>
          <w:ilvl w:val="0"/>
          <w:numId w:val="23"/>
        </w:numPr>
        <w:spacing w:after="120"/>
        <w:ind w:firstLine="709"/>
        <w:jc w:val="both"/>
        <w:rPr>
          <w:rFonts w:ascii="Tahoma" w:hAnsi="Tahoma" w:cs="Tahoma"/>
          <w:sz w:val="20"/>
        </w:rPr>
      </w:pPr>
      <w:r w:rsidRPr="00D1268C">
        <w:rPr>
          <w:rFonts w:ascii="Tahoma" w:hAnsi="Tahoma" w:cs="Tahoma"/>
          <w:sz w:val="20"/>
        </w:rPr>
        <w:t>Atos de registro ou autorização para funcionamento, expedidos pelo Banco Central e/ou Comissão de Valores Mobiliários (CVM) ou órgão competente;</w:t>
      </w:r>
    </w:p>
    <w:p w:rsidR="001330B1" w:rsidRPr="00D1268C" w:rsidRDefault="001330B1" w:rsidP="00AD12FB">
      <w:pPr>
        <w:pStyle w:val="PargrafodaLista"/>
        <w:numPr>
          <w:ilvl w:val="0"/>
          <w:numId w:val="23"/>
        </w:numPr>
        <w:spacing w:after="120"/>
        <w:ind w:firstLine="709"/>
        <w:jc w:val="both"/>
        <w:rPr>
          <w:rFonts w:ascii="Tahoma" w:hAnsi="Tahoma" w:cs="Tahoma"/>
          <w:sz w:val="20"/>
        </w:rPr>
      </w:pPr>
      <w:r w:rsidRPr="00D1268C">
        <w:rPr>
          <w:rFonts w:ascii="Tahoma" w:hAnsi="Tahoma" w:cs="Tahoma"/>
          <w:sz w:val="20"/>
        </w:rPr>
        <w:t>Certidões que o RPPS achar pertinente solicitar;</w:t>
      </w:r>
    </w:p>
    <w:p w:rsidR="001330B1" w:rsidRPr="00D1268C" w:rsidRDefault="001330B1" w:rsidP="00AD12FB">
      <w:pPr>
        <w:pStyle w:val="PargrafodaLista"/>
        <w:numPr>
          <w:ilvl w:val="0"/>
          <w:numId w:val="22"/>
        </w:numPr>
        <w:spacing w:after="120"/>
        <w:ind w:firstLine="709"/>
        <w:jc w:val="both"/>
        <w:rPr>
          <w:rFonts w:ascii="Tahoma" w:hAnsi="Tahoma" w:cs="Tahoma"/>
          <w:sz w:val="20"/>
        </w:rPr>
      </w:pPr>
      <w:r w:rsidRPr="00D1268C">
        <w:rPr>
          <w:rFonts w:ascii="Tahoma" w:hAnsi="Tahoma" w:cs="Tahoma"/>
          <w:sz w:val="20"/>
        </w:rPr>
        <w:t>A Instituição deverá ser filiada à ANBIMA – Associação Brasileira das Entidades dos Mercados Financeiros e de Capitais ou ser aderente ao Código de Regulação e Melhores Práticas para Fundos de Investimentos. No caso de conglomerado ou grupo financeiro</w:t>
      </w:r>
      <w:r w:rsidR="0099256D" w:rsidRPr="00D1268C">
        <w:rPr>
          <w:rFonts w:ascii="Tahoma" w:hAnsi="Tahoma" w:cs="Tahoma"/>
          <w:sz w:val="20"/>
        </w:rPr>
        <w:t xml:space="preserve"> </w:t>
      </w:r>
      <w:r w:rsidRPr="00D1268C">
        <w:rPr>
          <w:rFonts w:ascii="Tahoma" w:hAnsi="Tahoma" w:cs="Tahoma"/>
          <w:sz w:val="20"/>
        </w:rPr>
        <w:t>(considerando qualquer sociedade controlada, controladora ou sob controle comum), conforme determinado no artigo 5º do Código</w:t>
      </w:r>
      <w:r w:rsidR="00EC09AA">
        <w:rPr>
          <w:rFonts w:ascii="Tahoma" w:hAnsi="Tahoma" w:cs="Tahoma"/>
          <w:sz w:val="20"/>
        </w:rPr>
        <w:t xml:space="preserve"> </w:t>
      </w:r>
      <w:r w:rsidRPr="00D1268C">
        <w:rPr>
          <w:rFonts w:ascii="Tahoma" w:hAnsi="Tahoma" w:cs="Tahoma"/>
          <w:sz w:val="20"/>
        </w:rPr>
        <w:t>de Regulação e Melhores Práticas ANBIMA para os Fundos de Investimentos, a filiação e/ou adesão de uma entidade aproveita às</w:t>
      </w:r>
      <w:r w:rsidR="0099256D" w:rsidRPr="00D1268C">
        <w:rPr>
          <w:rFonts w:ascii="Tahoma" w:hAnsi="Tahoma" w:cs="Tahoma"/>
          <w:sz w:val="20"/>
        </w:rPr>
        <w:t xml:space="preserve"> </w:t>
      </w:r>
      <w:r w:rsidRPr="00D1268C">
        <w:rPr>
          <w:rFonts w:ascii="Tahoma" w:hAnsi="Tahoma" w:cs="Tahoma"/>
          <w:sz w:val="20"/>
        </w:rPr>
        <w:t>demais;</w:t>
      </w:r>
    </w:p>
    <w:p w:rsidR="001330B1" w:rsidRPr="00D1268C" w:rsidRDefault="001330B1" w:rsidP="00AD12FB">
      <w:pPr>
        <w:pStyle w:val="PargrafodaLista"/>
        <w:numPr>
          <w:ilvl w:val="0"/>
          <w:numId w:val="22"/>
        </w:numPr>
        <w:spacing w:after="120"/>
        <w:ind w:firstLine="709"/>
        <w:jc w:val="both"/>
        <w:rPr>
          <w:rFonts w:ascii="Tahoma" w:hAnsi="Tahoma" w:cs="Tahoma"/>
          <w:sz w:val="20"/>
        </w:rPr>
      </w:pPr>
      <w:r w:rsidRPr="00D1268C">
        <w:rPr>
          <w:rFonts w:ascii="Tahoma" w:hAnsi="Tahoma" w:cs="Tahoma"/>
          <w:sz w:val="20"/>
        </w:rPr>
        <w:t>Questionário Padrão Due Diligence ANBIMA Seção 1 e 3 e seus anexos;</w:t>
      </w:r>
    </w:p>
    <w:p w:rsidR="001330B1" w:rsidRPr="00D1268C" w:rsidRDefault="001330B1" w:rsidP="00AD12FB">
      <w:pPr>
        <w:pStyle w:val="PargrafodaLista"/>
        <w:numPr>
          <w:ilvl w:val="0"/>
          <w:numId w:val="22"/>
        </w:numPr>
        <w:spacing w:after="120"/>
        <w:ind w:firstLine="709"/>
        <w:jc w:val="both"/>
        <w:rPr>
          <w:rFonts w:ascii="Tahoma" w:hAnsi="Tahoma" w:cs="Tahoma"/>
          <w:sz w:val="20"/>
        </w:rPr>
      </w:pPr>
      <w:r w:rsidRPr="00D1268C">
        <w:rPr>
          <w:rFonts w:ascii="Tahoma" w:hAnsi="Tahoma" w:cs="Tahoma"/>
          <w:sz w:val="20"/>
        </w:rPr>
        <w:t>Relatórios de Ratings de Qualidade de Gestão e Ambiente de Controle;</w:t>
      </w:r>
    </w:p>
    <w:p w:rsidR="001330B1" w:rsidRPr="00D1268C" w:rsidRDefault="001330B1" w:rsidP="00AD12FB">
      <w:pPr>
        <w:pStyle w:val="PargrafodaLista"/>
        <w:numPr>
          <w:ilvl w:val="0"/>
          <w:numId w:val="22"/>
        </w:numPr>
        <w:spacing w:after="120"/>
        <w:ind w:firstLine="709"/>
        <w:jc w:val="both"/>
        <w:rPr>
          <w:rFonts w:ascii="Tahoma" w:hAnsi="Tahoma" w:cs="Tahoma"/>
          <w:sz w:val="20"/>
        </w:rPr>
      </w:pPr>
      <w:r w:rsidRPr="00D1268C">
        <w:rPr>
          <w:rFonts w:ascii="Tahoma" w:hAnsi="Tahoma" w:cs="Tahoma"/>
          <w:sz w:val="20"/>
        </w:rPr>
        <w:t>Solidez Patrimonial;</w:t>
      </w:r>
    </w:p>
    <w:p w:rsidR="001330B1" w:rsidRPr="00D1268C" w:rsidRDefault="001330B1" w:rsidP="00AD12FB">
      <w:pPr>
        <w:pStyle w:val="PargrafodaLista"/>
        <w:numPr>
          <w:ilvl w:val="0"/>
          <w:numId w:val="22"/>
        </w:numPr>
        <w:spacing w:after="120"/>
        <w:ind w:firstLine="709"/>
        <w:jc w:val="both"/>
        <w:rPr>
          <w:rFonts w:ascii="Tahoma" w:hAnsi="Tahoma" w:cs="Tahoma"/>
          <w:sz w:val="20"/>
        </w:rPr>
      </w:pPr>
      <w:r w:rsidRPr="00D1268C">
        <w:rPr>
          <w:rFonts w:ascii="Tahoma" w:hAnsi="Tahoma" w:cs="Tahoma"/>
          <w:sz w:val="20"/>
        </w:rPr>
        <w:t>Risco Reputacional;</w:t>
      </w:r>
    </w:p>
    <w:p w:rsidR="001330B1" w:rsidRPr="00D1268C" w:rsidRDefault="001330B1" w:rsidP="00AD12FB">
      <w:pPr>
        <w:pStyle w:val="PargrafodaLista"/>
        <w:numPr>
          <w:ilvl w:val="0"/>
          <w:numId w:val="22"/>
        </w:numPr>
        <w:spacing w:after="120"/>
        <w:ind w:firstLine="709"/>
        <w:jc w:val="both"/>
        <w:rPr>
          <w:rFonts w:ascii="Tahoma" w:hAnsi="Tahoma" w:cs="Tahoma"/>
          <w:sz w:val="20"/>
        </w:rPr>
      </w:pPr>
      <w:r w:rsidRPr="00D1268C">
        <w:rPr>
          <w:rFonts w:ascii="Tahoma" w:hAnsi="Tahoma" w:cs="Tahoma"/>
          <w:sz w:val="20"/>
        </w:rPr>
        <w:t>Padrão Ético de Conduta;</w:t>
      </w:r>
    </w:p>
    <w:p w:rsidR="001330B1" w:rsidRPr="00D1268C" w:rsidRDefault="001330B1" w:rsidP="00AD12FB">
      <w:pPr>
        <w:pStyle w:val="PargrafodaLista"/>
        <w:numPr>
          <w:ilvl w:val="0"/>
          <w:numId w:val="22"/>
        </w:numPr>
        <w:spacing w:after="120"/>
        <w:ind w:firstLine="709"/>
        <w:jc w:val="both"/>
        <w:rPr>
          <w:rFonts w:ascii="Tahoma" w:hAnsi="Tahoma" w:cs="Tahoma"/>
          <w:sz w:val="20"/>
        </w:rPr>
      </w:pPr>
      <w:r w:rsidRPr="00D1268C">
        <w:rPr>
          <w:rFonts w:ascii="Tahoma" w:hAnsi="Tahoma" w:cs="Tahoma"/>
          <w:sz w:val="20"/>
        </w:rPr>
        <w:t>Histórico e experiência de atuação;</w:t>
      </w:r>
    </w:p>
    <w:p w:rsidR="001330B1" w:rsidRPr="00D1268C" w:rsidRDefault="001330B1" w:rsidP="00AD12FB">
      <w:pPr>
        <w:pStyle w:val="PargrafodaLista"/>
        <w:numPr>
          <w:ilvl w:val="0"/>
          <w:numId w:val="22"/>
        </w:numPr>
        <w:spacing w:after="120"/>
        <w:ind w:firstLine="709"/>
        <w:jc w:val="both"/>
        <w:rPr>
          <w:rFonts w:ascii="Tahoma" w:hAnsi="Tahoma" w:cs="Tahoma"/>
          <w:sz w:val="20"/>
        </w:rPr>
      </w:pPr>
      <w:r w:rsidRPr="00D1268C">
        <w:rPr>
          <w:rFonts w:ascii="Tahoma" w:hAnsi="Tahoma" w:cs="Tahoma"/>
          <w:sz w:val="20"/>
        </w:rPr>
        <w:t>Volume de recursos sob administração/gestão;</w:t>
      </w:r>
    </w:p>
    <w:p w:rsidR="001330B1" w:rsidRPr="00D1268C" w:rsidRDefault="001330B1" w:rsidP="00AD12FB">
      <w:pPr>
        <w:pStyle w:val="PargrafodaLista"/>
        <w:numPr>
          <w:ilvl w:val="0"/>
          <w:numId w:val="22"/>
        </w:numPr>
        <w:spacing w:after="120"/>
        <w:ind w:firstLine="709"/>
        <w:jc w:val="both"/>
        <w:rPr>
          <w:rFonts w:ascii="Tahoma" w:hAnsi="Tahoma" w:cs="Tahoma"/>
          <w:sz w:val="20"/>
        </w:rPr>
      </w:pPr>
      <w:r w:rsidRPr="00D1268C">
        <w:rPr>
          <w:rFonts w:ascii="Tahoma" w:hAnsi="Tahoma" w:cs="Tahoma"/>
          <w:sz w:val="20"/>
        </w:rPr>
        <w:t>Avaliação da rentabilidade dos fundos sob sua administração/gestão;</w:t>
      </w:r>
    </w:p>
    <w:p w:rsidR="001330B1" w:rsidRPr="00C02E24" w:rsidRDefault="001330B1" w:rsidP="00AD12FB">
      <w:pPr>
        <w:pStyle w:val="PargrafodaLista"/>
        <w:numPr>
          <w:ilvl w:val="0"/>
          <w:numId w:val="22"/>
        </w:numPr>
        <w:spacing w:after="120"/>
        <w:ind w:firstLine="709"/>
        <w:jc w:val="both"/>
        <w:rPr>
          <w:rFonts w:ascii="Tahoma" w:hAnsi="Tahoma" w:cs="Tahoma"/>
          <w:sz w:val="20"/>
        </w:rPr>
      </w:pPr>
      <w:r w:rsidRPr="00C02E24">
        <w:rPr>
          <w:rFonts w:ascii="Tahoma" w:hAnsi="Tahoma" w:cs="Tahoma"/>
          <w:sz w:val="20"/>
        </w:rPr>
        <w:t>Penalidades: Pesquisa CVM, BACEN e mercado;</w:t>
      </w:r>
    </w:p>
    <w:p w:rsidR="001330B1" w:rsidRPr="00C02E24" w:rsidRDefault="001330B1" w:rsidP="00AD12FB">
      <w:pPr>
        <w:spacing w:after="120"/>
        <w:ind w:firstLine="709"/>
        <w:jc w:val="both"/>
        <w:rPr>
          <w:rFonts w:ascii="Tahoma" w:hAnsi="Tahoma" w:cs="Tahoma"/>
          <w:sz w:val="20"/>
        </w:rPr>
      </w:pPr>
    </w:p>
    <w:p w:rsidR="001330B1" w:rsidRDefault="001330B1" w:rsidP="00AD12FB">
      <w:pPr>
        <w:spacing w:after="120"/>
        <w:ind w:firstLine="709"/>
        <w:jc w:val="both"/>
        <w:rPr>
          <w:rFonts w:ascii="Tahoma" w:hAnsi="Tahoma" w:cs="Tahoma"/>
          <w:sz w:val="20"/>
        </w:rPr>
      </w:pPr>
      <w:r w:rsidRPr="00C02E24">
        <w:rPr>
          <w:rFonts w:ascii="Tahoma" w:hAnsi="Tahoma" w:cs="Tahoma"/>
          <w:sz w:val="20"/>
        </w:rPr>
        <w:t xml:space="preserve">Portanto, </w:t>
      </w:r>
      <w:r w:rsidR="007A0B11" w:rsidRPr="00C02E24">
        <w:rPr>
          <w:rFonts w:ascii="Tahoma" w:hAnsi="Tahoma" w:cs="Tahoma"/>
          <w:sz w:val="20"/>
        </w:rPr>
        <w:t xml:space="preserve">para </w:t>
      </w:r>
      <w:r w:rsidRPr="00C02E24">
        <w:rPr>
          <w:rFonts w:ascii="Tahoma" w:hAnsi="Tahoma" w:cs="Tahoma"/>
          <w:sz w:val="20"/>
        </w:rPr>
        <w:t>eventuais novos credenciamentos ao longo de 202</w:t>
      </w:r>
      <w:r w:rsidR="00E16EDA" w:rsidRPr="00C02E24">
        <w:rPr>
          <w:rFonts w:ascii="Tahoma" w:hAnsi="Tahoma" w:cs="Tahoma"/>
          <w:sz w:val="20"/>
        </w:rPr>
        <w:t>5</w:t>
      </w:r>
      <w:r w:rsidRPr="00C02E24">
        <w:rPr>
          <w:rFonts w:ascii="Tahoma" w:hAnsi="Tahoma" w:cs="Tahoma"/>
          <w:sz w:val="20"/>
        </w:rPr>
        <w:t xml:space="preserve"> o RPPS seguirá os parâmetros gerais dos art</w:t>
      </w:r>
      <w:r w:rsidR="00EC09AA" w:rsidRPr="00C02E24">
        <w:rPr>
          <w:rFonts w:ascii="Tahoma" w:hAnsi="Tahoma" w:cs="Tahoma"/>
          <w:sz w:val="20"/>
        </w:rPr>
        <w:t>s</w:t>
      </w:r>
      <w:r w:rsidRPr="00C02E24">
        <w:rPr>
          <w:rFonts w:ascii="Tahoma" w:hAnsi="Tahoma" w:cs="Tahoma"/>
          <w:sz w:val="20"/>
        </w:rPr>
        <w:t xml:space="preserve"> 103,</w:t>
      </w:r>
      <w:r w:rsidR="005D3A43">
        <w:rPr>
          <w:rFonts w:ascii="Tahoma" w:hAnsi="Tahoma" w:cs="Tahoma"/>
          <w:sz w:val="20"/>
        </w:rPr>
        <w:t xml:space="preserve"> </w:t>
      </w:r>
      <w:r w:rsidRPr="00C02E24">
        <w:rPr>
          <w:rFonts w:ascii="Tahoma" w:hAnsi="Tahoma" w:cs="Tahoma"/>
          <w:sz w:val="20"/>
        </w:rPr>
        <w:t>104,</w:t>
      </w:r>
      <w:r w:rsidR="005D3A43">
        <w:rPr>
          <w:rFonts w:ascii="Tahoma" w:hAnsi="Tahoma" w:cs="Tahoma"/>
          <w:sz w:val="20"/>
        </w:rPr>
        <w:t xml:space="preserve"> </w:t>
      </w:r>
      <w:r w:rsidRPr="00C02E24">
        <w:rPr>
          <w:rFonts w:ascii="Tahoma" w:hAnsi="Tahoma" w:cs="Tahoma"/>
          <w:sz w:val="20"/>
        </w:rPr>
        <w:t>105 da Portaria MTP</w:t>
      </w:r>
      <w:r w:rsidR="007A0B11" w:rsidRPr="00C02E24">
        <w:rPr>
          <w:rFonts w:ascii="Tahoma" w:hAnsi="Tahoma" w:cs="Tahoma"/>
          <w:sz w:val="20"/>
        </w:rPr>
        <w:t xml:space="preserve"> nº</w:t>
      </w:r>
      <w:r w:rsidRPr="00C02E24">
        <w:rPr>
          <w:rFonts w:ascii="Tahoma" w:hAnsi="Tahoma" w:cs="Tahoma"/>
          <w:sz w:val="20"/>
        </w:rPr>
        <w:t xml:space="preserve"> </w:t>
      </w:r>
      <w:r w:rsidR="007F6D14" w:rsidRPr="00C02E24">
        <w:rPr>
          <w:rFonts w:ascii="Tahoma" w:hAnsi="Tahoma" w:cs="Tahoma"/>
          <w:sz w:val="20"/>
        </w:rPr>
        <w:t>1.467</w:t>
      </w:r>
      <w:r w:rsidRPr="00C02E24">
        <w:rPr>
          <w:rFonts w:ascii="Tahoma" w:hAnsi="Tahoma" w:cs="Tahoma"/>
          <w:sz w:val="20"/>
        </w:rPr>
        <w:t>/2022.</w:t>
      </w:r>
    </w:p>
    <w:bookmarkEnd w:id="41"/>
    <w:p w:rsidR="001330B1" w:rsidRPr="00E8601E" w:rsidRDefault="001330B1" w:rsidP="00AD12FB">
      <w:pPr>
        <w:spacing w:after="120"/>
        <w:ind w:firstLine="709"/>
        <w:jc w:val="both"/>
        <w:rPr>
          <w:rFonts w:ascii="Tahoma" w:hAnsi="Tahoma" w:cs="Tahoma"/>
          <w:sz w:val="20"/>
        </w:rPr>
      </w:pPr>
    </w:p>
    <w:p w:rsidR="00465C63" w:rsidRPr="00C02E24" w:rsidRDefault="00465C63" w:rsidP="00AD12FB">
      <w:pPr>
        <w:spacing w:after="120"/>
        <w:ind w:firstLine="709"/>
        <w:jc w:val="both"/>
        <w:outlineLvl w:val="2"/>
        <w:rPr>
          <w:rStyle w:val="nfaseSutil"/>
          <w:sz w:val="20"/>
        </w:rPr>
      </w:pPr>
      <w:bookmarkStart w:id="42" w:name="_Toc181778185"/>
      <w:r>
        <w:rPr>
          <w:rStyle w:val="nfaseSutil"/>
          <w:sz w:val="20"/>
        </w:rPr>
        <w:t xml:space="preserve">Da </w:t>
      </w:r>
      <w:r w:rsidRPr="00C02E24">
        <w:rPr>
          <w:rStyle w:val="nfaseSutil"/>
          <w:sz w:val="20"/>
        </w:rPr>
        <w:t>Seleção e Precificação de ativos</w:t>
      </w:r>
      <w:bookmarkEnd w:id="42"/>
    </w:p>
    <w:p w:rsidR="00465C63" w:rsidRPr="00C02E24" w:rsidRDefault="00465C63" w:rsidP="00AD12FB">
      <w:pPr>
        <w:spacing w:after="120"/>
        <w:ind w:firstLine="709"/>
        <w:jc w:val="both"/>
        <w:rPr>
          <w:rFonts w:ascii="Tahoma" w:hAnsi="Tahoma" w:cs="Tahoma"/>
          <w:sz w:val="20"/>
        </w:rPr>
      </w:pPr>
      <w:r w:rsidRPr="00C02E24">
        <w:rPr>
          <w:rFonts w:ascii="Tahoma" w:hAnsi="Tahoma" w:cs="Tahoma"/>
          <w:sz w:val="20"/>
        </w:rPr>
        <w:t xml:space="preserve">A seleção dos produtos para avaliação </w:t>
      </w:r>
      <w:r w:rsidR="00EC09AA" w:rsidRPr="00C02E24">
        <w:rPr>
          <w:rFonts w:ascii="Tahoma" w:hAnsi="Tahoma" w:cs="Tahoma"/>
          <w:sz w:val="20"/>
        </w:rPr>
        <w:t>é</w:t>
      </w:r>
      <w:r w:rsidR="000976BC" w:rsidRPr="00C02E24">
        <w:rPr>
          <w:rFonts w:ascii="Tahoma" w:hAnsi="Tahoma" w:cs="Tahoma"/>
          <w:sz w:val="20"/>
        </w:rPr>
        <w:t xml:space="preserve"> de competência do </w:t>
      </w:r>
      <w:r w:rsidR="008F04AC" w:rsidRPr="00C02E24">
        <w:rPr>
          <w:rFonts w:ascii="Tahoma" w:hAnsi="Tahoma" w:cs="Tahoma"/>
          <w:b/>
          <w:bCs/>
          <w:sz w:val="20"/>
        </w:rPr>
        <w:fldChar w:fldCharType="begin"/>
      </w:r>
      <w:r w:rsidR="000976BC" w:rsidRPr="00C02E24">
        <w:rPr>
          <w:rFonts w:ascii="Tahoma" w:hAnsi="Tahoma" w:cs="Tahoma"/>
          <w:b/>
          <w:bCs/>
          <w:sz w:val="20"/>
        </w:rPr>
        <w:instrText xml:space="preserve"> MERGEFIELD COMITÊ </w:instrText>
      </w:r>
      <w:r w:rsidR="008F04AC" w:rsidRPr="00C02E24">
        <w:rPr>
          <w:rFonts w:ascii="Tahoma" w:hAnsi="Tahoma" w:cs="Tahoma"/>
          <w:b/>
          <w:bCs/>
          <w:sz w:val="20"/>
        </w:rPr>
        <w:fldChar w:fldCharType="separate"/>
      </w:r>
      <w:r w:rsidR="004A232E" w:rsidRPr="00BC514D">
        <w:rPr>
          <w:rFonts w:ascii="Tahoma" w:hAnsi="Tahoma" w:cs="Tahoma"/>
          <w:b/>
          <w:bCs/>
          <w:noProof/>
          <w:sz w:val="20"/>
        </w:rPr>
        <w:t>COMITÊ DE INVESTIMENTOS</w:t>
      </w:r>
      <w:r w:rsidR="008F04AC" w:rsidRPr="00C02E24">
        <w:rPr>
          <w:rFonts w:ascii="Tahoma" w:hAnsi="Tahoma" w:cs="Tahoma"/>
          <w:b/>
          <w:bCs/>
          <w:sz w:val="20"/>
        </w:rPr>
        <w:fldChar w:fldCharType="end"/>
      </w:r>
      <w:r w:rsidR="000976BC" w:rsidRPr="00C02E24">
        <w:rPr>
          <w:rFonts w:ascii="Tahoma" w:hAnsi="Tahoma" w:cs="Tahoma"/>
          <w:b/>
          <w:bCs/>
          <w:sz w:val="20"/>
        </w:rPr>
        <w:t xml:space="preserve"> </w:t>
      </w:r>
      <w:r w:rsidR="000976BC" w:rsidRPr="00C02E24">
        <w:rPr>
          <w:rFonts w:ascii="Tahoma" w:hAnsi="Tahoma" w:cs="Tahoma"/>
          <w:sz w:val="20"/>
        </w:rPr>
        <w:t xml:space="preserve">e deve respeitar essa </w:t>
      </w:r>
      <w:r w:rsidR="007A0B11" w:rsidRPr="00C02E24">
        <w:rPr>
          <w:rFonts w:ascii="Tahoma" w:hAnsi="Tahoma" w:cs="Tahoma"/>
          <w:sz w:val="20"/>
        </w:rPr>
        <w:t>Política de Investimentos</w:t>
      </w:r>
      <w:r w:rsidRPr="00C02E24">
        <w:rPr>
          <w:rFonts w:ascii="Tahoma" w:hAnsi="Tahoma" w:cs="Tahoma"/>
          <w:sz w:val="20"/>
        </w:rPr>
        <w:t xml:space="preserve">. Para tanto, deverá ser elaborado relatório técnico, contemplando as exigências </w:t>
      </w:r>
      <w:r w:rsidR="007A0B11" w:rsidRPr="00C02E24">
        <w:rPr>
          <w:rFonts w:ascii="Tahoma" w:hAnsi="Tahoma" w:cs="Tahoma"/>
          <w:sz w:val="20"/>
        </w:rPr>
        <w:t>principais</w:t>
      </w:r>
      <w:r w:rsidRPr="00C02E24">
        <w:rPr>
          <w:rFonts w:ascii="Tahoma" w:hAnsi="Tahoma" w:cs="Tahoma"/>
          <w:sz w:val="20"/>
        </w:rPr>
        <w:t xml:space="preserve"> </w:t>
      </w:r>
      <w:r w:rsidR="00E03567" w:rsidRPr="00C02E24">
        <w:rPr>
          <w:rFonts w:ascii="Tahoma" w:hAnsi="Tahoma" w:cs="Tahoma"/>
          <w:sz w:val="20"/>
        </w:rPr>
        <w:t>da Portaria</w:t>
      </w:r>
      <w:r w:rsidR="007A0B11" w:rsidRPr="00C02E24">
        <w:rPr>
          <w:rFonts w:ascii="Tahoma" w:hAnsi="Tahoma" w:cs="Tahoma"/>
          <w:sz w:val="20"/>
        </w:rPr>
        <w:t xml:space="preserve"> MTP nº</w:t>
      </w:r>
      <w:r w:rsidR="00E03567" w:rsidRPr="00C02E24">
        <w:rPr>
          <w:rFonts w:ascii="Tahoma" w:hAnsi="Tahoma" w:cs="Tahoma"/>
          <w:sz w:val="20"/>
        </w:rPr>
        <w:t xml:space="preserve"> 1.467/2022, seção IV</w:t>
      </w:r>
      <w:r w:rsidRPr="00C02E24">
        <w:rPr>
          <w:rFonts w:ascii="Tahoma" w:hAnsi="Tahoma" w:cs="Tahoma"/>
          <w:sz w:val="20"/>
        </w:rPr>
        <w:t xml:space="preserve">. </w:t>
      </w:r>
    </w:p>
    <w:p w:rsidR="00465C63" w:rsidRPr="00C02E24" w:rsidRDefault="00465C63" w:rsidP="00AD12FB">
      <w:pPr>
        <w:spacing w:after="120"/>
        <w:ind w:firstLine="709"/>
        <w:jc w:val="both"/>
        <w:rPr>
          <w:rFonts w:ascii="Tahoma" w:hAnsi="Tahoma" w:cs="Tahoma"/>
          <w:sz w:val="20"/>
        </w:rPr>
      </w:pPr>
      <w:r w:rsidRPr="00C02E24">
        <w:rPr>
          <w:rFonts w:ascii="Tahoma" w:hAnsi="Tahoma" w:cs="Tahoma"/>
          <w:sz w:val="20"/>
        </w:rPr>
        <w:t>O parecer completo emitido deverá conter</w:t>
      </w:r>
      <w:r w:rsidR="007F6D14" w:rsidRPr="00C02E24">
        <w:rPr>
          <w:rFonts w:ascii="Tahoma" w:hAnsi="Tahoma" w:cs="Tahoma"/>
          <w:sz w:val="20"/>
        </w:rPr>
        <w:t>,</w:t>
      </w:r>
      <w:r w:rsidRPr="00C02E24">
        <w:rPr>
          <w:rFonts w:ascii="Tahoma" w:hAnsi="Tahoma" w:cs="Tahoma"/>
          <w:sz w:val="20"/>
        </w:rPr>
        <w:t xml:space="preserve"> no mínimo</w:t>
      </w:r>
      <w:r w:rsidR="007F6D14" w:rsidRPr="00C02E24">
        <w:rPr>
          <w:rFonts w:ascii="Tahoma" w:hAnsi="Tahoma" w:cs="Tahoma"/>
          <w:sz w:val="20"/>
        </w:rPr>
        <w:t>,</w:t>
      </w:r>
      <w:r w:rsidRPr="00C02E24">
        <w:rPr>
          <w:rFonts w:ascii="Tahoma" w:hAnsi="Tahoma" w:cs="Tahoma"/>
          <w:sz w:val="20"/>
        </w:rPr>
        <w:t xml:space="preserve"> os seguintes critérios de avaliação:</w:t>
      </w:r>
    </w:p>
    <w:p w:rsidR="00465C63" w:rsidRPr="00C02E24" w:rsidRDefault="00465C63" w:rsidP="00AD12FB">
      <w:pPr>
        <w:spacing w:after="120"/>
        <w:ind w:left="426" w:firstLine="709"/>
        <w:jc w:val="both"/>
        <w:rPr>
          <w:rFonts w:ascii="Tahoma" w:hAnsi="Tahoma" w:cs="Tahoma"/>
          <w:sz w:val="20"/>
        </w:rPr>
      </w:pPr>
      <w:r w:rsidRPr="00C02E24">
        <w:rPr>
          <w:rFonts w:ascii="Tahoma" w:hAnsi="Tahoma" w:cs="Tahoma"/>
          <w:sz w:val="20"/>
        </w:rPr>
        <w:t>A. Análise das medidas de risco;</w:t>
      </w:r>
    </w:p>
    <w:p w:rsidR="00465C63" w:rsidRPr="00E168FF" w:rsidRDefault="00465C63" w:rsidP="00AD12FB">
      <w:pPr>
        <w:spacing w:after="120"/>
        <w:ind w:left="426" w:firstLine="709"/>
        <w:jc w:val="both"/>
        <w:rPr>
          <w:rFonts w:ascii="Tahoma" w:hAnsi="Tahoma" w:cs="Tahoma"/>
          <w:sz w:val="20"/>
        </w:rPr>
      </w:pPr>
      <w:r w:rsidRPr="00C02E24">
        <w:rPr>
          <w:rFonts w:ascii="Tahoma" w:hAnsi="Tahoma" w:cs="Tahoma"/>
          <w:sz w:val="20"/>
        </w:rPr>
        <w:t>B. Análise dos índices de performance;</w:t>
      </w:r>
    </w:p>
    <w:p w:rsidR="00465C63" w:rsidRPr="00E168FF" w:rsidRDefault="00465C63" w:rsidP="00AD12FB">
      <w:pPr>
        <w:spacing w:after="120"/>
        <w:ind w:left="426" w:firstLine="709"/>
        <w:jc w:val="both"/>
        <w:rPr>
          <w:rFonts w:ascii="Tahoma" w:hAnsi="Tahoma" w:cs="Tahoma"/>
          <w:sz w:val="20"/>
        </w:rPr>
      </w:pPr>
      <w:r w:rsidRPr="00E168FF">
        <w:rPr>
          <w:rFonts w:ascii="Tahoma" w:hAnsi="Tahoma" w:cs="Tahoma"/>
          <w:sz w:val="20"/>
        </w:rPr>
        <w:lastRenderedPageBreak/>
        <w:t>C. Análise de índices de eficiência;</w:t>
      </w:r>
    </w:p>
    <w:p w:rsidR="00465C63" w:rsidRPr="00E168FF" w:rsidRDefault="00465C63" w:rsidP="00AD12FB">
      <w:pPr>
        <w:spacing w:after="120"/>
        <w:ind w:left="426" w:firstLine="709"/>
        <w:jc w:val="both"/>
        <w:rPr>
          <w:rFonts w:ascii="Tahoma" w:hAnsi="Tahoma" w:cs="Tahoma"/>
          <w:sz w:val="20"/>
        </w:rPr>
      </w:pPr>
      <w:r w:rsidRPr="00E168FF">
        <w:rPr>
          <w:rFonts w:ascii="Tahoma" w:hAnsi="Tahoma" w:cs="Tahoma"/>
          <w:sz w:val="20"/>
        </w:rPr>
        <w:t>D. Análise do regulamento evidenciando as características, natureza,</w:t>
      </w:r>
      <w:r>
        <w:rPr>
          <w:rFonts w:ascii="Tahoma" w:hAnsi="Tahoma" w:cs="Tahoma"/>
          <w:sz w:val="20"/>
        </w:rPr>
        <w:t xml:space="preserve"> </w:t>
      </w:r>
      <w:r w:rsidRPr="00E168FF">
        <w:rPr>
          <w:rFonts w:ascii="Tahoma" w:hAnsi="Tahoma" w:cs="Tahoma"/>
          <w:sz w:val="20"/>
        </w:rPr>
        <w:t>enquadramento do produto e do relatório de agência de risco (se houver);</w:t>
      </w:r>
    </w:p>
    <w:p w:rsidR="00465C63" w:rsidRPr="00E168FF" w:rsidRDefault="00465C63" w:rsidP="00AD12FB">
      <w:pPr>
        <w:spacing w:after="120"/>
        <w:ind w:left="426" w:firstLine="709"/>
        <w:jc w:val="both"/>
        <w:rPr>
          <w:rFonts w:ascii="Tahoma" w:hAnsi="Tahoma" w:cs="Tahoma"/>
          <w:sz w:val="20"/>
        </w:rPr>
      </w:pPr>
      <w:r w:rsidRPr="00E168FF">
        <w:rPr>
          <w:rFonts w:ascii="Tahoma" w:hAnsi="Tahoma" w:cs="Tahoma"/>
          <w:sz w:val="20"/>
        </w:rPr>
        <w:t>E. Análise da carteira do fundo com relação à carteira do benchmark. Quando</w:t>
      </w:r>
      <w:r>
        <w:rPr>
          <w:rFonts w:ascii="Tahoma" w:hAnsi="Tahoma" w:cs="Tahoma"/>
          <w:sz w:val="20"/>
        </w:rPr>
        <w:t xml:space="preserve"> </w:t>
      </w:r>
      <w:r w:rsidRPr="00E168FF">
        <w:rPr>
          <w:rFonts w:ascii="Tahoma" w:hAnsi="Tahoma" w:cs="Tahoma"/>
          <w:sz w:val="20"/>
        </w:rPr>
        <w:t>se tratar de ativos de créditos, verificar a concentração por emissor, notas</w:t>
      </w:r>
      <w:r>
        <w:rPr>
          <w:rFonts w:ascii="Tahoma" w:hAnsi="Tahoma" w:cs="Tahoma"/>
          <w:sz w:val="20"/>
        </w:rPr>
        <w:t xml:space="preserve"> </w:t>
      </w:r>
      <w:r w:rsidRPr="00E168FF">
        <w:rPr>
          <w:rFonts w:ascii="Tahoma" w:hAnsi="Tahoma" w:cs="Tahoma"/>
          <w:sz w:val="20"/>
        </w:rPr>
        <w:t>de risco dos ativos e vencimento dos títulos;</w:t>
      </w:r>
    </w:p>
    <w:p w:rsidR="00465C63" w:rsidRPr="00E168FF" w:rsidRDefault="00465C63" w:rsidP="00AD12FB">
      <w:pPr>
        <w:spacing w:after="120"/>
        <w:ind w:left="426" w:firstLine="709"/>
        <w:jc w:val="both"/>
        <w:rPr>
          <w:rFonts w:ascii="Tahoma" w:hAnsi="Tahoma" w:cs="Tahoma"/>
          <w:sz w:val="20"/>
        </w:rPr>
      </w:pPr>
      <w:r w:rsidRPr="00E168FF">
        <w:rPr>
          <w:rFonts w:ascii="Tahoma" w:hAnsi="Tahoma" w:cs="Tahoma"/>
          <w:sz w:val="20"/>
        </w:rPr>
        <w:t>F. Informações claras que permitam a identificação dos fatores positivos e</w:t>
      </w:r>
      <w:r>
        <w:rPr>
          <w:rFonts w:ascii="Tahoma" w:hAnsi="Tahoma" w:cs="Tahoma"/>
          <w:sz w:val="20"/>
        </w:rPr>
        <w:t xml:space="preserve"> </w:t>
      </w:r>
      <w:r w:rsidRPr="00E168FF">
        <w:rPr>
          <w:rFonts w:ascii="Tahoma" w:hAnsi="Tahoma" w:cs="Tahoma"/>
          <w:sz w:val="20"/>
        </w:rPr>
        <w:t>negativos do investimento, quando se tratar de FIP, FII e FIDC. As</w:t>
      </w:r>
      <w:r>
        <w:rPr>
          <w:rFonts w:ascii="Tahoma" w:hAnsi="Tahoma" w:cs="Tahoma"/>
          <w:sz w:val="20"/>
        </w:rPr>
        <w:t xml:space="preserve"> </w:t>
      </w:r>
      <w:r w:rsidRPr="00E168FF">
        <w:rPr>
          <w:rFonts w:ascii="Tahoma" w:hAnsi="Tahoma" w:cs="Tahoma"/>
          <w:sz w:val="20"/>
        </w:rPr>
        <w:t>informações servirão de apoio à decisão acerca das alocações por parte do</w:t>
      </w:r>
      <w:r>
        <w:rPr>
          <w:rFonts w:ascii="Tahoma" w:hAnsi="Tahoma" w:cs="Tahoma"/>
          <w:sz w:val="20"/>
        </w:rPr>
        <w:t xml:space="preserve"> </w:t>
      </w:r>
      <w:r w:rsidR="007F6D14">
        <w:rPr>
          <w:rFonts w:ascii="Tahoma" w:hAnsi="Tahoma" w:cs="Tahoma"/>
          <w:sz w:val="20"/>
        </w:rPr>
        <w:t>Comitê de Investimentos</w:t>
      </w:r>
      <w:r w:rsidRPr="00E168FF">
        <w:rPr>
          <w:rFonts w:ascii="Tahoma" w:hAnsi="Tahoma" w:cs="Tahoma"/>
          <w:sz w:val="20"/>
        </w:rPr>
        <w:t>.</w:t>
      </w:r>
    </w:p>
    <w:p w:rsidR="00465C63" w:rsidRPr="00E168FF" w:rsidRDefault="00465C63" w:rsidP="00AD12FB">
      <w:pPr>
        <w:spacing w:after="120"/>
        <w:ind w:left="426" w:firstLine="709"/>
        <w:jc w:val="both"/>
        <w:rPr>
          <w:rFonts w:ascii="Tahoma" w:hAnsi="Tahoma" w:cs="Tahoma"/>
          <w:sz w:val="20"/>
        </w:rPr>
      </w:pPr>
      <w:r w:rsidRPr="00E168FF">
        <w:rPr>
          <w:rFonts w:ascii="Tahoma" w:hAnsi="Tahoma" w:cs="Tahoma"/>
          <w:sz w:val="20"/>
        </w:rPr>
        <w:t>G. Enquadramento.</w:t>
      </w:r>
    </w:p>
    <w:p w:rsidR="00465C63" w:rsidRDefault="00465C63" w:rsidP="00AD12FB">
      <w:pPr>
        <w:spacing w:after="120"/>
        <w:ind w:firstLine="709"/>
        <w:jc w:val="both"/>
        <w:rPr>
          <w:rFonts w:ascii="Tahoma" w:hAnsi="Tahoma" w:cs="Tahoma"/>
          <w:sz w:val="20"/>
        </w:rPr>
      </w:pPr>
      <w:r w:rsidRPr="005719FA">
        <w:rPr>
          <w:rFonts w:ascii="Tahoma" w:hAnsi="Tahoma" w:cs="Tahoma"/>
          <w:b/>
          <w:bCs/>
          <w:sz w:val="20"/>
        </w:rPr>
        <w:t xml:space="preserve">A precificação dos ativos que trata o inciso V, do Art. 4° da Resolução CMN nº </w:t>
      </w:r>
      <w:r w:rsidR="009134DA">
        <w:rPr>
          <w:rFonts w:ascii="Tahoma" w:hAnsi="Tahoma" w:cs="Tahoma"/>
          <w:b/>
          <w:bCs/>
          <w:sz w:val="20"/>
        </w:rPr>
        <w:t>4.963/2021</w:t>
      </w:r>
      <w:r w:rsidRPr="00E168FF">
        <w:rPr>
          <w:rFonts w:ascii="Tahoma" w:hAnsi="Tahoma" w:cs="Tahoma"/>
          <w:sz w:val="20"/>
        </w:rPr>
        <w:t>, será efetuada com base nas informações divulgadas pelos</w:t>
      </w:r>
      <w:r>
        <w:rPr>
          <w:rFonts w:ascii="Tahoma" w:hAnsi="Tahoma" w:cs="Tahoma"/>
          <w:sz w:val="20"/>
        </w:rPr>
        <w:t xml:space="preserve"> </w:t>
      </w:r>
      <w:r w:rsidRPr="00E168FF">
        <w:rPr>
          <w:rFonts w:ascii="Tahoma" w:hAnsi="Tahoma" w:cs="Tahoma"/>
          <w:sz w:val="20"/>
        </w:rPr>
        <w:t>órgãos responsáveis, tais como B3, CVM e ANBIMA</w:t>
      </w:r>
      <w:r>
        <w:rPr>
          <w:rFonts w:ascii="Tahoma" w:hAnsi="Tahoma" w:cs="Tahoma"/>
          <w:sz w:val="20"/>
        </w:rPr>
        <w:t>.</w:t>
      </w:r>
    </w:p>
    <w:p w:rsidR="00465C63" w:rsidRDefault="00465C63" w:rsidP="00AD12FB">
      <w:pPr>
        <w:spacing w:after="120"/>
        <w:ind w:firstLine="709"/>
        <w:rPr>
          <w:rFonts w:ascii="Tahoma" w:hAnsi="Tahoma" w:cs="Tahoma"/>
          <w:sz w:val="20"/>
        </w:rPr>
      </w:pPr>
    </w:p>
    <w:p w:rsidR="001A00B6" w:rsidRPr="001A00B6" w:rsidRDefault="001A00B6" w:rsidP="00EC5FD6">
      <w:pPr>
        <w:pStyle w:val="Subttulo"/>
        <w:rPr>
          <w:sz w:val="20"/>
        </w:rPr>
      </w:pPr>
      <w:bookmarkStart w:id="43" w:name="_Toc181778186"/>
      <w:r w:rsidRPr="001A00B6">
        <w:rPr>
          <w:sz w:val="20"/>
        </w:rPr>
        <w:t>D</w:t>
      </w:r>
      <w:r>
        <w:rPr>
          <w:sz w:val="20"/>
        </w:rPr>
        <w:t>eliberações sobre novos Investimentos</w:t>
      </w:r>
      <w:bookmarkEnd w:id="43"/>
    </w:p>
    <w:p w:rsidR="001A00B6" w:rsidRPr="00C02E24" w:rsidRDefault="001A00B6" w:rsidP="00AD12FB">
      <w:pPr>
        <w:spacing w:after="120"/>
        <w:ind w:firstLine="709"/>
        <w:jc w:val="both"/>
        <w:rPr>
          <w:rFonts w:ascii="Tahoma" w:hAnsi="Tahoma" w:cs="Tahoma"/>
          <w:sz w:val="20"/>
        </w:rPr>
      </w:pPr>
      <w:r w:rsidRPr="001A00B6">
        <w:rPr>
          <w:rFonts w:ascii="Tahoma" w:hAnsi="Tahoma" w:cs="Tahoma"/>
          <w:sz w:val="20"/>
        </w:rPr>
        <w:t xml:space="preserve">Os recursos financeiros do RPPS deverão ser geridos em conformidade com </w:t>
      </w:r>
      <w:r w:rsidR="00162171">
        <w:rPr>
          <w:rFonts w:ascii="Tahoma" w:hAnsi="Tahoma" w:cs="Tahoma"/>
          <w:sz w:val="20"/>
        </w:rPr>
        <w:t>est</w:t>
      </w:r>
      <w:r w:rsidRPr="001A00B6">
        <w:rPr>
          <w:rFonts w:ascii="Tahoma" w:hAnsi="Tahoma" w:cs="Tahoma"/>
          <w:sz w:val="20"/>
        </w:rPr>
        <w:t xml:space="preserve">a </w:t>
      </w:r>
      <w:r w:rsidR="007A0B11">
        <w:rPr>
          <w:rFonts w:ascii="Tahoma" w:hAnsi="Tahoma" w:cs="Tahoma"/>
          <w:sz w:val="20"/>
        </w:rPr>
        <w:t>Política de Investimentos</w:t>
      </w:r>
      <w:r w:rsidRPr="001A00B6">
        <w:rPr>
          <w:rFonts w:ascii="Tahoma" w:hAnsi="Tahoma" w:cs="Tahoma"/>
          <w:sz w:val="20"/>
        </w:rPr>
        <w:t xml:space="preserve"> e com os </w:t>
      </w:r>
      <w:r w:rsidRPr="00C02E24">
        <w:rPr>
          <w:rFonts w:ascii="Tahoma" w:hAnsi="Tahoma" w:cs="Tahoma"/>
          <w:sz w:val="20"/>
        </w:rPr>
        <w:t>critérios para credenciamento de instituições e contratações. Deverão ser adotadas regras, procedimentos e controles internos que visem à promoção de elevados padrões éticos na condução das operações, bem como à eficiência dos procedimentos técnicos, operacionais e de controle das aplicações.</w:t>
      </w:r>
    </w:p>
    <w:p w:rsidR="001A00B6" w:rsidRPr="00C02E24" w:rsidRDefault="001A00B6" w:rsidP="00AD12FB">
      <w:pPr>
        <w:spacing w:after="120"/>
        <w:ind w:firstLine="709"/>
        <w:jc w:val="both"/>
        <w:rPr>
          <w:rFonts w:ascii="Tahoma" w:hAnsi="Tahoma" w:cs="Tahoma"/>
          <w:sz w:val="20"/>
        </w:rPr>
      </w:pPr>
      <w:r w:rsidRPr="00C02E24">
        <w:rPr>
          <w:rFonts w:ascii="Tahoma" w:hAnsi="Tahoma" w:cs="Tahoma"/>
          <w:sz w:val="20"/>
        </w:rPr>
        <w:t>Os recursos dos RPPS serão aplicados no mercado financeiro e de capitais em conformidade com regras estabelecidas pelo Conselho Monetário Nacional - CMN.</w:t>
      </w:r>
    </w:p>
    <w:p w:rsidR="001A00B6" w:rsidRDefault="001A00B6" w:rsidP="00AD12FB">
      <w:pPr>
        <w:spacing w:after="120"/>
        <w:ind w:firstLine="709"/>
        <w:jc w:val="both"/>
        <w:rPr>
          <w:rFonts w:ascii="Tahoma" w:hAnsi="Tahoma" w:cs="Tahoma"/>
          <w:sz w:val="20"/>
        </w:rPr>
      </w:pPr>
      <w:r w:rsidRPr="00C02E24">
        <w:rPr>
          <w:rFonts w:ascii="Tahoma" w:hAnsi="Tahoma" w:cs="Tahoma"/>
          <w:sz w:val="20"/>
        </w:rPr>
        <w:t>Conforme previsto no art. 88º da Portaria</w:t>
      </w:r>
      <w:r w:rsidR="007F6D14" w:rsidRPr="00C02E24">
        <w:rPr>
          <w:rFonts w:ascii="Tahoma" w:hAnsi="Tahoma" w:cs="Tahoma"/>
          <w:sz w:val="20"/>
        </w:rPr>
        <w:t xml:space="preserve"> MTP nº</w:t>
      </w:r>
      <w:r w:rsidRPr="00C02E24">
        <w:rPr>
          <w:rFonts w:ascii="Tahoma" w:hAnsi="Tahoma" w:cs="Tahoma"/>
          <w:sz w:val="20"/>
        </w:rPr>
        <w:t xml:space="preserve"> 1.467/2022, os processos decisórios dos investimentos de recursos do RPPS se referem às operações de alocação e assim deverá a unidade gestora implementar processo de controle de qualidade e documentação</w:t>
      </w:r>
      <w:r w:rsidRPr="001A00B6">
        <w:rPr>
          <w:rFonts w:ascii="Tahoma" w:hAnsi="Tahoma" w:cs="Tahoma"/>
          <w:sz w:val="20"/>
        </w:rPr>
        <w:t>, revisão e requisitos de auditoria rigorosos no que se refere às decisões na aplicação dos recursos</w:t>
      </w:r>
      <w:r w:rsidR="00D1268C">
        <w:rPr>
          <w:rFonts w:ascii="Tahoma" w:hAnsi="Tahoma" w:cs="Tahoma"/>
          <w:sz w:val="20"/>
        </w:rPr>
        <w:t>.</w:t>
      </w:r>
    </w:p>
    <w:p w:rsidR="001A00B6" w:rsidRPr="00BE6FCD" w:rsidRDefault="001A00B6" w:rsidP="00AD12FB">
      <w:pPr>
        <w:spacing w:after="120"/>
        <w:ind w:firstLine="709"/>
        <w:jc w:val="both"/>
        <w:rPr>
          <w:rFonts w:ascii="Tahoma" w:hAnsi="Tahoma" w:cs="Tahoma"/>
          <w:sz w:val="20"/>
        </w:rPr>
      </w:pPr>
      <w:r w:rsidRPr="00C02E24">
        <w:rPr>
          <w:rFonts w:ascii="Tahoma" w:hAnsi="Tahoma" w:cs="Tahoma"/>
          <w:b/>
          <w:bCs/>
          <w:sz w:val="20"/>
        </w:rPr>
        <w:t>Somente</w:t>
      </w:r>
      <w:r w:rsidRPr="00C02E24">
        <w:rPr>
          <w:rFonts w:ascii="Tahoma" w:hAnsi="Tahoma" w:cs="Tahoma"/>
          <w:sz w:val="20"/>
        </w:rPr>
        <w:t xml:space="preserve"> s</w:t>
      </w:r>
      <w:r w:rsidR="00162171" w:rsidRPr="00C02E24">
        <w:rPr>
          <w:rFonts w:ascii="Tahoma" w:hAnsi="Tahoma" w:cs="Tahoma"/>
          <w:sz w:val="20"/>
        </w:rPr>
        <w:t>er</w:t>
      </w:r>
      <w:r w:rsidR="00521366" w:rsidRPr="00C02E24">
        <w:rPr>
          <w:rFonts w:ascii="Tahoma" w:hAnsi="Tahoma" w:cs="Tahoma"/>
          <w:sz w:val="20"/>
        </w:rPr>
        <w:t>á</w:t>
      </w:r>
      <w:r w:rsidRPr="00C02E24">
        <w:rPr>
          <w:rFonts w:ascii="Tahoma" w:hAnsi="Tahoma" w:cs="Tahoma"/>
          <w:sz w:val="20"/>
        </w:rPr>
        <w:t xml:space="preserve"> encaminhado para </w:t>
      </w:r>
      <w:r w:rsidR="00162171" w:rsidRPr="00C02E24">
        <w:rPr>
          <w:rFonts w:ascii="Tahoma" w:hAnsi="Tahoma" w:cs="Tahoma"/>
          <w:sz w:val="20"/>
        </w:rPr>
        <w:t>análise</w:t>
      </w:r>
      <w:r w:rsidRPr="00C02E24">
        <w:rPr>
          <w:rFonts w:ascii="Tahoma" w:hAnsi="Tahoma" w:cs="Tahoma"/>
          <w:sz w:val="20"/>
        </w:rPr>
        <w:t xml:space="preserve"> o </w:t>
      </w:r>
      <w:r w:rsidR="00162171" w:rsidRPr="00C02E24">
        <w:rPr>
          <w:rFonts w:ascii="Tahoma" w:hAnsi="Tahoma" w:cs="Tahoma"/>
          <w:sz w:val="20"/>
        </w:rPr>
        <w:t>ativo</w:t>
      </w:r>
      <w:r w:rsidRPr="00C02E24">
        <w:rPr>
          <w:rFonts w:ascii="Tahoma" w:hAnsi="Tahoma" w:cs="Tahoma"/>
          <w:sz w:val="20"/>
        </w:rPr>
        <w:t xml:space="preserve"> </w:t>
      </w:r>
      <w:r w:rsidR="00162171" w:rsidRPr="00C02E24">
        <w:rPr>
          <w:rFonts w:ascii="Tahoma" w:hAnsi="Tahoma" w:cs="Tahoma"/>
          <w:sz w:val="20"/>
        </w:rPr>
        <w:t>onde,</w:t>
      </w:r>
      <w:r w:rsidRPr="00C02E24">
        <w:rPr>
          <w:rFonts w:ascii="Tahoma" w:hAnsi="Tahoma" w:cs="Tahoma"/>
          <w:sz w:val="20"/>
        </w:rPr>
        <w:t xml:space="preserve"> tanto a </w:t>
      </w:r>
      <w:r w:rsidRPr="00C02E24">
        <w:rPr>
          <w:rFonts w:ascii="Tahoma" w:hAnsi="Tahoma" w:cs="Tahoma"/>
          <w:sz w:val="20"/>
          <w:u w:val="single"/>
        </w:rPr>
        <w:t>instituiç</w:t>
      </w:r>
      <w:r w:rsidR="00521366" w:rsidRPr="00C02E24">
        <w:rPr>
          <w:rFonts w:ascii="Tahoma" w:hAnsi="Tahoma" w:cs="Tahoma"/>
          <w:sz w:val="20"/>
          <w:u w:val="single"/>
        </w:rPr>
        <w:t>ão</w:t>
      </w:r>
      <w:r w:rsidR="00162171" w:rsidRPr="00C02E24">
        <w:rPr>
          <w:rFonts w:ascii="Tahoma" w:hAnsi="Tahoma" w:cs="Tahoma"/>
          <w:sz w:val="20"/>
          <w:u w:val="single"/>
        </w:rPr>
        <w:t xml:space="preserve"> financeira</w:t>
      </w:r>
      <w:r w:rsidR="007F6D14" w:rsidRPr="00C02E24">
        <w:rPr>
          <w:rFonts w:ascii="Tahoma" w:hAnsi="Tahoma" w:cs="Tahoma"/>
          <w:sz w:val="20"/>
        </w:rPr>
        <w:t xml:space="preserve"> quanto</w:t>
      </w:r>
      <w:r w:rsidR="00521366" w:rsidRPr="00C02E24">
        <w:rPr>
          <w:rFonts w:ascii="Tahoma" w:hAnsi="Tahoma" w:cs="Tahoma"/>
          <w:sz w:val="20"/>
        </w:rPr>
        <w:t xml:space="preserve"> os </w:t>
      </w:r>
      <w:r w:rsidR="00521366" w:rsidRPr="00C02E24">
        <w:rPr>
          <w:rFonts w:ascii="Tahoma" w:hAnsi="Tahoma" w:cs="Tahoma"/>
          <w:sz w:val="20"/>
          <w:u w:val="single"/>
        </w:rPr>
        <w:t>participantes</w:t>
      </w:r>
      <w:r w:rsidR="00521366" w:rsidRPr="00C02E24">
        <w:rPr>
          <w:rFonts w:ascii="Tahoma" w:hAnsi="Tahoma" w:cs="Tahoma"/>
          <w:sz w:val="20"/>
        </w:rPr>
        <w:t>,</w:t>
      </w:r>
      <w:r w:rsidR="00142717" w:rsidRPr="00C02E24">
        <w:rPr>
          <w:rFonts w:ascii="Tahoma" w:hAnsi="Tahoma" w:cs="Tahoma"/>
          <w:sz w:val="20"/>
        </w:rPr>
        <w:t xml:space="preserve"> </w:t>
      </w:r>
      <w:r w:rsidR="00D1268C" w:rsidRPr="00C02E24">
        <w:rPr>
          <w:rFonts w:ascii="Tahoma" w:hAnsi="Tahoma" w:cs="Tahoma"/>
          <w:sz w:val="20"/>
        </w:rPr>
        <w:t>atenda</w:t>
      </w:r>
      <w:r w:rsidR="00E03567" w:rsidRPr="00C02E24">
        <w:rPr>
          <w:rFonts w:ascii="Tahoma" w:hAnsi="Tahoma" w:cs="Tahoma"/>
          <w:sz w:val="20"/>
        </w:rPr>
        <w:t>m</w:t>
      </w:r>
      <w:r w:rsidR="00D1268C" w:rsidRPr="00C02E24">
        <w:rPr>
          <w:rFonts w:ascii="Tahoma" w:hAnsi="Tahoma" w:cs="Tahoma"/>
          <w:sz w:val="20"/>
        </w:rPr>
        <w:t xml:space="preserve"> o </w:t>
      </w:r>
      <w:r w:rsidR="00142717" w:rsidRPr="00C02E24">
        <w:rPr>
          <w:rFonts w:ascii="Tahoma" w:hAnsi="Tahoma" w:cs="Tahoma"/>
          <w:sz w:val="20"/>
          <w:u w:val="single"/>
        </w:rPr>
        <w:t>perfil de investidor</w:t>
      </w:r>
      <w:r w:rsidR="00142717" w:rsidRPr="00C02E24">
        <w:rPr>
          <w:rFonts w:ascii="Tahoma" w:hAnsi="Tahoma" w:cs="Tahoma"/>
          <w:sz w:val="20"/>
        </w:rPr>
        <w:t xml:space="preserve"> do RPPS</w:t>
      </w:r>
      <w:r w:rsidR="00162171" w:rsidRPr="00C02E24">
        <w:rPr>
          <w:rFonts w:ascii="Tahoma" w:hAnsi="Tahoma" w:cs="Tahoma"/>
          <w:sz w:val="20"/>
        </w:rPr>
        <w:t xml:space="preserve"> </w:t>
      </w:r>
      <w:r w:rsidR="00D1268C" w:rsidRPr="00C02E24">
        <w:rPr>
          <w:rFonts w:ascii="Tahoma" w:hAnsi="Tahoma" w:cs="Tahoma"/>
          <w:sz w:val="20"/>
        </w:rPr>
        <w:t>e o</w:t>
      </w:r>
      <w:r w:rsidRPr="00C02E24">
        <w:rPr>
          <w:rFonts w:ascii="Tahoma" w:hAnsi="Tahoma" w:cs="Tahoma"/>
          <w:sz w:val="20"/>
        </w:rPr>
        <w:t xml:space="preserve"> </w:t>
      </w:r>
      <w:r w:rsidRPr="00C02E24">
        <w:rPr>
          <w:rFonts w:ascii="Tahoma" w:hAnsi="Tahoma" w:cs="Tahoma"/>
          <w:sz w:val="20"/>
          <w:u w:val="single"/>
        </w:rPr>
        <w:t>fundo de investimento</w:t>
      </w:r>
      <w:r w:rsidRPr="00C02E24">
        <w:rPr>
          <w:rFonts w:ascii="Tahoma" w:hAnsi="Tahoma" w:cs="Tahoma"/>
          <w:sz w:val="20"/>
        </w:rPr>
        <w:t xml:space="preserve"> </w:t>
      </w:r>
      <w:r w:rsidR="00D1268C" w:rsidRPr="00C02E24">
        <w:rPr>
          <w:rFonts w:ascii="Tahoma" w:hAnsi="Tahoma" w:cs="Tahoma"/>
          <w:sz w:val="20"/>
        </w:rPr>
        <w:t>acate</w:t>
      </w:r>
      <w:r w:rsidR="00162171" w:rsidRPr="00C02E24">
        <w:rPr>
          <w:rFonts w:ascii="Tahoma" w:hAnsi="Tahoma" w:cs="Tahoma"/>
          <w:sz w:val="20"/>
        </w:rPr>
        <w:t xml:space="preserve"> os pré-requisitos e, </w:t>
      </w:r>
      <w:r w:rsidR="004606F5" w:rsidRPr="00C02E24">
        <w:rPr>
          <w:rFonts w:ascii="Tahoma" w:hAnsi="Tahoma" w:cs="Tahoma"/>
          <w:sz w:val="20"/>
        </w:rPr>
        <w:t>sendo assim</w:t>
      </w:r>
      <w:r w:rsidR="00162171" w:rsidRPr="00C02E24">
        <w:rPr>
          <w:rFonts w:ascii="Tahoma" w:hAnsi="Tahoma" w:cs="Tahoma"/>
          <w:sz w:val="20"/>
        </w:rPr>
        <w:t xml:space="preserve"> ser</w:t>
      </w:r>
      <w:r w:rsidR="00521366" w:rsidRPr="00C02E24">
        <w:rPr>
          <w:rFonts w:ascii="Tahoma" w:hAnsi="Tahoma" w:cs="Tahoma"/>
          <w:sz w:val="20"/>
        </w:rPr>
        <w:t>á encaminhado para</w:t>
      </w:r>
      <w:r w:rsidRPr="00C02E24">
        <w:rPr>
          <w:rFonts w:ascii="Tahoma" w:hAnsi="Tahoma" w:cs="Tahoma"/>
          <w:sz w:val="20"/>
        </w:rPr>
        <w:t xml:space="preserve"> an</w:t>
      </w:r>
      <w:r w:rsidR="00EC09AA" w:rsidRPr="00C02E24">
        <w:rPr>
          <w:rFonts w:ascii="Tahoma" w:hAnsi="Tahoma" w:cs="Tahoma"/>
          <w:sz w:val="20"/>
        </w:rPr>
        <w:t>á</w:t>
      </w:r>
      <w:r w:rsidRPr="00C02E24">
        <w:rPr>
          <w:rFonts w:ascii="Tahoma" w:hAnsi="Tahoma" w:cs="Tahoma"/>
          <w:sz w:val="20"/>
        </w:rPr>
        <w:t>lis</w:t>
      </w:r>
      <w:r w:rsidR="00521366" w:rsidRPr="00C02E24">
        <w:rPr>
          <w:rFonts w:ascii="Tahoma" w:hAnsi="Tahoma" w:cs="Tahoma"/>
          <w:sz w:val="20"/>
        </w:rPr>
        <w:t>e</w:t>
      </w:r>
      <w:r w:rsidRPr="00C02E24">
        <w:rPr>
          <w:rFonts w:ascii="Tahoma" w:hAnsi="Tahoma" w:cs="Tahoma"/>
          <w:sz w:val="20"/>
        </w:rPr>
        <w:t xml:space="preserve"> </w:t>
      </w:r>
      <w:r w:rsidR="00521366" w:rsidRPr="00C02E24">
        <w:rPr>
          <w:rFonts w:ascii="Tahoma" w:hAnsi="Tahoma" w:cs="Tahoma"/>
          <w:sz w:val="20"/>
        </w:rPr>
        <w:t>do</w:t>
      </w:r>
      <w:r w:rsidR="00162171" w:rsidRPr="00C02E24">
        <w:rPr>
          <w:rFonts w:ascii="Tahoma" w:hAnsi="Tahoma" w:cs="Tahoma"/>
          <w:sz w:val="20"/>
        </w:rPr>
        <w:t xml:space="preserve"> Gestor e </w:t>
      </w:r>
      <w:r w:rsidR="007F6D14" w:rsidRPr="00C02E24">
        <w:rPr>
          <w:rFonts w:ascii="Tahoma" w:hAnsi="Tahoma" w:cs="Tahoma"/>
          <w:sz w:val="20"/>
        </w:rPr>
        <w:t>Comitê de Investimentos</w:t>
      </w:r>
      <w:r w:rsidR="00162171" w:rsidRPr="00C02E24">
        <w:rPr>
          <w:rFonts w:ascii="Tahoma" w:hAnsi="Tahoma" w:cs="Tahoma"/>
          <w:sz w:val="20"/>
        </w:rPr>
        <w:t xml:space="preserve"> do RPPS, </w:t>
      </w:r>
      <w:r w:rsidRPr="00C02E24">
        <w:rPr>
          <w:rFonts w:ascii="Tahoma" w:hAnsi="Tahoma" w:cs="Tahoma"/>
          <w:sz w:val="20"/>
        </w:rPr>
        <w:t>pela Consultoria e</w:t>
      </w:r>
      <w:r w:rsidR="00521366" w:rsidRPr="00C02E24">
        <w:rPr>
          <w:rFonts w:ascii="Tahoma" w:hAnsi="Tahoma" w:cs="Tahoma"/>
          <w:sz w:val="20"/>
        </w:rPr>
        <w:t>,</w:t>
      </w:r>
      <w:r w:rsidR="00162171" w:rsidRPr="00C02E24">
        <w:rPr>
          <w:rFonts w:ascii="Tahoma" w:hAnsi="Tahoma" w:cs="Tahoma"/>
          <w:sz w:val="20"/>
        </w:rPr>
        <w:t xml:space="preserve"> </w:t>
      </w:r>
      <w:r w:rsidR="00521366" w:rsidRPr="00C02E24">
        <w:rPr>
          <w:rFonts w:ascii="Tahoma" w:hAnsi="Tahoma" w:cs="Tahoma"/>
          <w:sz w:val="20"/>
        </w:rPr>
        <w:t>sendo</w:t>
      </w:r>
      <w:r w:rsidR="00162171" w:rsidRPr="00C02E24">
        <w:rPr>
          <w:rFonts w:ascii="Tahoma" w:hAnsi="Tahoma" w:cs="Tahoma"/>
          <w:sz w:val="20"/>
        </w:rPr>
        <w:t xml:space="preserve"> aprovado,</w:t>
      </w:r>
      <w:r w:rsidR="00521366" w:rsidRPr="00C02E24">
        <w:rPr>
          <w:rFonts w:ascii="Tahoma" w:hAnsi="Tahoma" w:cs="Tahoma"/>
          <w:sz w:val="20"/>
        </w:rPr>
        <w:t xml:space="preserve"> deverá ser </w:t>
      </w:r>
      <w:r w:rsidR="00521366" w:rsidRPr="00C02E24">
        <w:rPr>
          <w:rFonts w:ascii="Tahoma" w:hAnsi="Tahoma" w:cs="Tahoma"/>
          <w:b/>
          <w:bCs/>
          <w:sz w:val="20"/>
        </w:rPr>
        <w:t>encaminhado para deliberação</w:t>
      </w:r>
      <w:r w:rsidR="00521366" w:rsidRPr="00C02E24">
        <w:rPr>
          <w:rFonts w:ascii="Tahoma" w:hAnsi="Tahoma" w:cs="Tahoma"/>
          <w:sz w:val="20"/>
        </w:rPr>
        <w:t xml:space="preserve">. Após esse trâmite, se </w:t>
      </w:r>
      <w:r w:rsidR="00521366" w:rsidRPr="00BE6FCD">
        <w:rPr>
          <w:rFonts w:ascii="Tahoma" w:hAnsi="Tahoma" w:cs="Tahoma"/>
          <w:sz w:val="20"/>
        </w:rPr>
        <w:t>aprovado,</w:t>
      </w:r>
      <w:r w:rsidR="00162171" w:rsidRPr="00BE6FCD">
        <w:rPr>
          <w:rFonts w:ascii="Tahoma" w:hAnsi="Tahoma" w:cs="Tahoma"/>
          <w:sz w:val="20"/>
        </w:rPr>
        <w:t xml:space="preserve"> poderá ser</w:t>
      </w:r>
      <w:r w:rsidRPr="00BE6FCD">
        <w:rPr>
          <w:rFonts w:ascii="Tahoma" w:hAnsi="Tahoma" w:cs="Tahoma"/>
          <w:sz w:val="20"/>
        </w:rPr>
        <w:t xml:space="preserve"> devidamente credenciado pelo </w:t>
      </w:r>
      <w:r w:rsidR="007F6D14" w:rsidRPr="00BE6FCD">
        <w:rPr>
          <w:rFonts w:ascii="Tahoma" w:hAnsi="Tahoma" w:cs="Tahoma"/>
          <w:sz w:val="20"/>
        </w:rPr>
        <w:t>Comitê de Investimentos</w:t>
      </w:r>
      <w:r w:rsidR="00521366" w:rsidRPr="00BE6FCD">
        <w:rPr>
          <w:rFonts w:ascii="Tahoma" w:hAnsi="Tahoma" w:cs="Tahoma"/>
          <w:sz w:val="20"/>
        </w:rPr>
        <w:t xml:space="preserve">, conforme regras da Portaria </w:t>
      </w:r>
      <w:r w:rsidR="007F6D14" w:rsidRPr="00BE6FCD">
        <w:rPr>
          <w:rFonts w:ascii="Tahoma" w:hAnsi="Tahoma" w:cs="Tahoma"/>
          <w:sz w:val="20"/>
        </w:rPr>
        <w:t xml:space="preserve">MTP nº </w:t>
      </w:r>
      <w:r w:rsidR="00521366" w:rsidRPr="00BE6FCD">
        <w:rPr>
          <w:rFonts w:ascii="Tahoma" w:hAnsi="Tahoma" w:cs="Tahoma"/>
          <w:sz w:val="20"/>
        </w:rPr>
        <w:t>1.467/</w:t>
      </w:r>
      <w:r w:rsidR="00946F98">
        <w:rPr>
          <w:rFonts w:ascii="Tahoma" w:hAnsi="Tahoma" w:cs="Tahoma"/>
          <w:sz w:val="20"/>
        </w:rPr>
        <w:t>20</w:t>
      </w:r>
      <w:r w:rsidR="00521366" w:rsidRPr="00BE6FCD">
        <w:rPr>
          <w:rFonts w:ascii="Tahoma" w:hAnsi="Tahoma" w:cs="Tahoma"/>
          <w:sz w:val="20"/>
        </w:rPr>
        <w:t>22</w:t>
      </w:r>
      <w:r w:rsidRPr="00BE6FCD">
        <w:rPr>
          <w:rFonts w:ascii="Tahoma" w:hAnsi="Tahoma" w:cs="Tahoma"/>
          <w:sz w:val="20"/>
        </w:rPr>
        <w:t>.</w:t>
      </w:r>
    </w:p>
    <w:p w:rsidR="008202D4" w:rsidRDefault="001A00B6" w:rsidP="00AD12FB">
      <w:pPr>
        <w:spacing w:after="120"/>
        <w:ind w:firstLine="709"/>
        <w:jc w:val="both"/>
        <w:rPr>
          <w:rFonts w:ascii="Tahoma" w:hAnsi="Tahoma" w:cs="Tahoma"/>
          <w:sz w:val="20"/>
        </w:rPr>
      </w:pPr>
      <w:r w:rsidRPr="00BE6FCD">
        <w:rPr>
          <w:rFonts w:ascii="Tahoma" w:hAnsi="Tahoma" w:cs="Tahoma"/>
          <w:sz w:val="20"/>
        </w:rPr>
        <w:t>Todas as deliberações são registradas em Ata e publicada</w:t>
      </w:r>
      <w:r w:rsidR="007F6D14" w:rsidRPr="00BE6FCD">
        <w:rPr>
          <w:rFonts w:ascii="Tahoma" w:hAnsi="Tahoma" w:cs="Tahoma"/>
          <w:sz w:val="20"/>
        </w:rPr>
        <w:t>s</w:t>
      </w:r>
      <w:r w:rsidRPr="00BE6FCD">
        <w:rPr>
          <w:rFonts w:ascii="Tahoma" w:hAnsi="Tahoma" w:cs="Tahoma"/>
          <w:sz w:val="20"/>
        </w:rPr>
        <w:t xml:space="preserve"> por ambos os órg</w:t>
      </w:r>
      <w:r w:rsidR="00E03567" w:rsidRPr="00BE6FCD">
        <w:rPr>
          <w:rFonts w:ascii="Tahoma" w:hAnsi="Tahoma" w:cs="Tahoma"/>
          <w:sz w:val="20"/>
        </w:rPr>
        <w:t>ãos</w:t>
      </w:r>
      <w:r w:rsidRPr="00BE6FCD">
        <w:rPr>
          <w:rFonts w:ascii="Tahoma" w:hAnsi="Tahoma" w:cs="Tahoma"/>
          <w:sz w:val="20"/>
        </w:rPr>
        <w:t xml:space="preserve"> da gestão do RPPS.</w:t>
      </w:r>
    </w:p>
    <w:p w:rsidR="008202D4" w:rsidRDefault="00521366" w:rsidP="00AD12FB">
      <w:pPr>
        <w:spacing w:after="120"/>
        <w:ind w:firstLine="709"/>
        <w:rPr>
          <w:rFonts w:ascii="Tahoma" w:hAnsi="Tahoma" w:cs="Tahoma"/>
          <w:sz w:val="20"/>
        </w:rPr>
      </w:pPr>
      <w:r>
        <w:rPr>
          <w:rFonts w:ascii="Tahoma" w:hAnsi="Tahoma" w:cs="Tahoma"/>
          <w:sz w:val="20"/>
        </w:rPr>
        <w:t>Abaixo</w:t>
      </w:r>
      <w:r w:rsidR="00E03567">
        <w:rPr>
          <w:rFonts w:ascii="Tahoma" w:hAnsi="Tahoma" w:cs="Tahoma"/>
          <w:sz w:val="20"/>
        </w:rPr>
        <w:t xml:space="preserve"> está demonstrado</w:t>
      </w:r>
      <w:r>
        <w:rPr>
          <w:rFonts w:ascii="Tahoma" w:hAnsi="Tahoma" w:cs="Tahoma"/>
          <w:sz w:val="20"/>
        </w:rPr>
        <w:t xml:space="preserve"> o diagrama </w:t>
      </w:r>
      <w:r w:rsidR="00A4368B">
        <w:rPr>
          <w:rFonts w:ascii="Tahoma" w:hAnsi="Tahoma" w:cs="Tahoma"/>
          <w:sz w:val="20"/>
        </w:rPr>
        <w:t>d</w:t>
      </w:r>
      <w:r>
        <w:rPr>
          <w:rFonts w:ascii="Tahoma" w:hAnsi="Tahoma" w:cs="Tahoma"/>
          <w:sz w:val="20"/>
        </w:rPr>
        <w:t xml:space="preserve">o </w:t>
      </w:r>
      <w:r w:rsidRPr="00521366">
        <w:rPr>
          <w:rFonts w:ascii="Tahoma" w:hAnsi="Tahoma" w:cs="Tahoma"/>
          <w:b/>
          <w:bCs/>
          <w:sz w:val="20"/>
        </w:rPr>
        <w:t>Ciclo de Investimentos</w:t>
      </w:r>
      <w:r>
        <w:rPr>
          <w:rFonts w:ascii="Tahoma" w:hAnsi="Tahoma" w:cs="Tahoma"/>
          <w:sz w:val="20"/>
        </w:rPr>
        <w:t>:</w:t>
      </w:r>
    </w:p>
    <w:p w:rsidR="00AD12FB" w:rsidRDefault="00FE044C" w:rsidP="00AD12FB">
      <w:pPr>
        <w:spacing w:after="120"/>
        <w:rPr>
          <w:rStyle w:val="Ttulo1Char"/>
          <w:sz w:val="22"/>
        </w:rPr>
      </w:pPr>
      <w:r>
        <w:rPr>
          <w:rFonts w:ascii="Tahoma" w:hAnsi="Tahoma" w:cs="Tahoma"/>
          <w:noProof/>
          <w:sz w:val="20"/>
        </w:rPr>
        <w:lastRenderedPageBreak/>
        <w:drawing>
          <wp:inline distT="0" distB="0" distL="0" distR="0">
            <wp:extent cx="5262327" cy="1968729"/>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278054" cy="1974613"/>
                    </a:xfrm>
                    <a:prstGeom prst="rect">
                      <a:avLst/>
                    </a:prstGeom>
                    <a:noFill/>
                    <a:ln>
                      <a:noFill/>
                    </a:ln>
                  </pic:spPr>
                </pic:pic>
              </a:graphicData>
            </a:graphic>
          </wp:inline>
        </w:drawing>
      </w:r>
      <w:r w:rsidR="00AD12FB">
        <w:rPr>
          <w:rStyle w:val="Ttulo1Char"/>
          <w:sz w:val="22"/>
        </w:rPr>
        <w:br w:type="page"/>
      </w:r>
    </w:p>
    <w:bookmarkStart w:id="44" w:name="_Toc181778187"/>
    <w:p w:rsidR="00465C63" w:rsidRPr="00E8601E" w:rsidRDefault="00AD12FB" w:rsidP="00EC5FD6">
      <w:pPr>
        <w:spacing w:after="120"/>
        <w:jc w:val="both"/>
        <w:outlineLvl w:val="0"/>
        <w:rPr>
          <w:sz w:val="20"/>
        </w:rPr>
      </w:pPr>
      <w:r w:rsidRPr="00E4782B">
        <w:object w:dxaOrig="2425" w:dyaOrig="2598">
          <v:shape id="_x0000_i1071" type="#_x0000_t75" style="width:9.4pt;height:8.15pt" o:ole="">
            <v:imagedata r:id="rId8" o:title=""/>
          </v:shape>
          <o:OLEObject Type="Embed" ProgID="CorelDRAW.Graphic.13" ShapeID="_x0000_i1071" DrawAspect="Content" ObjectID="_1792498607" r:id="rId70"/>
        </w:object>
      </w:r>
      <w:r w:rsidR="00465C63" w:rsidRPr="00E8601E">
        <w:rPr>
          <w:rStyle w:val="Ttulo1Char"/>
          <w:sz w:val="22"/>
        </w:rPr>
        <w:t>ESTRATÉGIA PARA ALOCAÇÃO DE RECURSOS</w:t>
      </w:r>
      <w:r w:rsidR="00465C63" w:rsidRPr="00E8601E">
        <w:rPr>
          <w:rFonts w:ascii="Tahoma" w:hAnsi="Tahoma" w:cs="Tahoma"/>
          <w:b/>
          <w:color w:val="002060"/>
          <w:szCs w:val="24"/>
        </w:rPr>
        <w:t xml:space="preserve"> </w:t>
      </w:r>
      <w:bookmarkEnd w:id="44"/>
      <w:r w:rsidR="00465C63" w:rsidRPr="00E8601E">
        <w:rPr>
          <w:sz w:val="20"/>
        </w:rPr>
        <w:object w:dxaOrig="3163" w:dyaOrig="3187">
          <v:shape id="_x0000_i1072" type="#_x0000_t75" style="width:21.9pt;height:23.15pt" o:ole="">
            <v:imagedata r:id="rId10" o:title=""/>
          </v:shape>
          <o:OLEObject Type="Embed" ProgID="CorelDRAW.Graphic.13" ShapeID="_x0000_i1072" DrawAspect="Content" ObjectID="_1792498608" r:id="rId71"/>
        </w:object>
      </w:r>
    </w:p>
    <w:p w:rsidR="00465C63" w:rsidRPr="00E8601E" w:rsidRDefault="00465C63" w:rsidP="00AD12FB">
      <w:pPr>
        <w:spacing w:after="120"/>
        <w:ind w:firstLine="709"/>
        <w:jc w:val="both"/>
        <w:outlineLvl w:val="2"/>
        <w:rPr>
          <w:rFonts w:ascii="Tahoma" w:hAnsi="Tahoma" w:cs="Tahoma"/>
          <w:sz w:val="20"/>
        </w:rPr>
      </w:pPr>
    </w:p>
    <w:p w:rsidR="00465C63" w:rsidRPr="00C02E24" w:rsidRDefault="00A4368B" w:rsidP="00AD12FB">
      <w:pPr>
        <w:spacing w:after="120"/>
        <w:ind w:firstLine="709"/>
        <w:jc w:val="both"/>
        <w:rPr>
          <w:rFonts w:ascii="Tahoma" w:hAnsi="Tahoma" w:cs="Tahoma"/>
          <w:sz w:val="20"/>
        </w:rPr>
      </w:pPr>
      <w:r w:rsidRPr="00C02E24">
        <w:rPr>
          <w:rFonts w:ascii="Tahoma" w:hAnsi="Tahoma" w:cs="Tahoma"/>
          <w:sz w:val="20"/>
        </w:rPr>
        <w:t>O anexo I</w:t>
      </w:r>
      <w:r w:rsidR="00465C63" w:rsidRPr="00C02E24">
        <w:rPr>
          <w:rFonts w:ascii="Tahoma" w:hAnsi="Tahoma" w:cs="Tahoma"/>
          <w:sz w:val="20"/>
        </w:rPr>
        <w:t xml:space="preserve"> apresenta a alocação-objetivo e os limites de aplicação em cada um dos segmentos definido</w:t>
      </w:r>
      <w:r w:rsidR="007F6D14" w:rsidRPr="00C02E24">
        <w:rPr>
          <w:rFonts w:ascii="Tahoma" w:hAnsi="Tahoma" w:cs="Tahoma"/>
          <w:sz w:val="20"/>
        </w:rPr>
        <w:t>s</w:t>
      </w:r>
      <w:r w:rsidR="00465C63" w:rsidRPr="00C02E24">
        <w:rPr>
          <w:rFonts w:ascii="Tahoma" w:hAnsi="Tahoma" w:cs="Tahoma"/>
          <w:sz w:val="20"/>
        </w:rPr>
        <w:t xml:space="preserve"> pela Resolução CMN</w:t>
      </w:r>
      <w:r w:rsidR="007F6D14" w:rsidRPr="00C02E24">
        <w:rPr>
          <w:rFonts w:ascii="Tahoma" w:hAnsi="Tahoma" w:cs="Tahoma"/>
          <w:sz w:val="20"/>
        </w:rPr>
        <w:t xml:space="preserve"> nº</w:t>
      </w:r>
      <w:r w:rsidR="00465C63" w:rsidRPr="00C02E24">
        <w:rPr>
          <w:rFonts w:ascii="Tahoma" w:hAnsi="Tahoma" w:cs="Tahoma"/>
          <w:sz w:val="20"/>
        </w:rPr>
        <w:t xml:space="preserve"> </w:t>
      </w:r>
      <w:r w:rsidR="009134DA" w:rsidRPr="00C02E24">
        <w:rPr>
          <w:rFonts w:ascii="Tahoma" w:hAnsi="Tahoma" w:cs="Tahoma"/>
          <w:sz w:val="20"/>
        </w:rPr>
        <w:t>4.963/2021</w:t>
      </w:r>
      <w:r w:rsidR="00465C63" w:rsidRPr="00C02E24">
        <w:rPr>
          <w:rFonts w:ascii="Tahoma" w:hAnsi="Tahoma" w:cs="Tahoma"/>
          <w:sz w:val="20"/>
        </w:rPr>
        <w:t>. Essa alocação tem como intuito determinar a alocação estratégica a ser perseguida ao longo do exercício desta Pol</w:t>
      </w:r>
      <w:r w:rsidR="00EB5A51" w:rsidRPr="00C02E24">
        <w:rPr>
          <w:rFonts w:ascii="Tahoma" w:hAnsi="Tahoma" w:cs="Tahoma"/>
          <w:sz w:val="20"/>
        </w:rPr>
        <w:t>í</w:t>
      </w:r>
      <w:r w:rsidR="00465C63" w:rsidRPr="00C02E24">
        <w:rPr>
          <w:rFonts w:ascii="Tahoma" w:hAnsi="Tahoma" w:cs="Tahoma"/>
          <w:sz w:val="20"/>
        </w:rPr>
        <w:t>tica de Investimento</w:t>
      </w:r>
      <w:r w:rsidR="007F6D14" w:rsidRPr="00C02E24">
        <w:rPr>
          <w:rFonts w:ascii="Tahoma" w:hAnsi="Tahoma" w:cs="Tahoma"/>
          <w:sz w:val="20"/>
        </w:rPr>
        <w:t>s</w:t>
      </w:r>
      <w:r w:rsidR="00465C63" w:rsidRPr="00C02E24">
        <w:rPr>
          <w:rFonts w:ascii="Tahoma" w:hAnsi="Tahoma" w:cs="Tahoma"/>
          <w:sz w:val="20"/>
        </w:rPr>
        <w:t xml:space="preserve"> que melhor reflita as necessidades do passivo. </w:t>
      </w:r>
    </w:p>
    <w:p w:rsidR="00465C63" w:rsidRPr="00C02E24" w:rsidRDefault="00465C63" w:rsidP="00AD12FB">
      <w:pPr>
        <w:spacing w:after="120"/>
        <w:ind w:firstLine="709"/>
        <w:jc w:val="both"/>
        <w:rPr>
          <w:rFonts w:ascii="Tahoma" w:hAnsi="Tahoma" w:cs="Tahoma"/>
          <w:sz w:val="20"/>
        </w:rPr>
      </w:pPr>
      <w:r w:rsidRPr="00C02E24">
        <w:rPr>
          <w:rFonts w:ascii="Tahoma" w:hAnsi="Tahoma" w:cs="Tahoma"/>
          <w:sz w:val="20"/>
        </w:rPr>
        <w:t xml:space="preserve">O </w:t>
      </w:r>
      <w:r w:rsidR="008F04AC" w:rsidRPr="00C02E24">
        <w:rPr>
          <w:rFonts w:ascii="Tahoma" w:hAnsi="Tahoma" w:cs="Tahoma"/>
          <w:b/>
          <w:noProof/>
          <w:sz w:val="20"/>
        </w:rPr>
        <w:fldChar w:fldCharType="begin"/>
      </w:r>
      <w:r w:rsidR="002670EA" w:rsidRPr="00C02E24">
        <w:rPr>
          <w:rFonts w:ascii="Tahoma" w:hAnsi="Tahoma" w:cs="Tahoma"/>
          <w:b/>
          <w:noProof/>
          <w:sz w:val="20"/>
        </w:rPr>
        <w:instrText xml:space="preserve"> MERGEFIELD NOME_DO_FUNDO </w:instrText>
      </w:r>
      <w:r w:rsidR="008F04AC" w:rsidRPr="00C02E24">
        <w:rPr>
          <w:rFonts w:ascii="Tahoma" w:hAnsi="Tahoma" w:cs="Tahoma"/>
          <w:b/>
          <w:noProof/>
          <w:sz w:val="20"/>
        </w:rPr>
        <w:fldChar w:fldCharType="separate"/>
      </w:r>
      <w:r w:rsidR="004A232E" w:rsidRPr="00BC514D">
        <w:rPr>
          <w:rFonts w:ascii="Tahoma" w:hAnsi="Tahoma" w:cs="Tahoma"/>
          <w:b/>
          <w:noProof/>
          <w:sz w:val="20"/>
        </w:rPr>
        <w:t>REGIME PRÓPRIO DE PREVIDÊNCIA DO SERVIDOR DE ENTRE-IJUÍS</w:t>
      </w:r>
      <w:r w:rsidR="008F04AC" w:rsidRPr="00C02E24">
        <w:rPr>
          <w:rFonts w:ascii="Tahoma" w:hAnsi="Tahoma" w:cs="Tahoma"/>
          <w:b/>
          <w:noProof/>
          <w:sz w:val="20"/>
        </w:rPr>
        <w:fldChar w:fldCharType="end"/>
      </w:r>
      <w:r w:rsidRPr="00C02E24">
        <w:rPr>
          <w:rFonts w:ascii="Tahoma" w:hAnsi="Tahoma" w:cs="Tahoma"/>
          <w:b/>
          <w:sz w:val="20"/>
        </w:rPr>
        <w:t xml:space="preserve"> </w:t>
      </w:r>
      <w:r w:rsidRPr="00B46C29">
        <w:rPr>
          <w:rFonts w:ascii="Tahoma" w:hAnsi="Tahoma" w:cs="Tahoma"/>
          <w:sz w:val="20"/>
        </w:rPr>
        <w:t xml:space="preserve">estará seguindo as determinações e obrigatoriedades </w:t>
      </w:r>
      <w:r w:rsidR="00750C64" w:rsidRPr="00B46C29">
        <w:rPr>
          <w:rFonts w:ascii="Tahoma" w:hAnsi="Tahoma" w:cs="Tahoma"/>
          <w:sz w:val="20"/>
        </w:rPr>
        <w:t xml:space="preserve">do artigo </w:t>
      </w:r>
      <w:r w:rsidR="00BE6FCD" w:rsidRPr="00B46C29">
        <w:rPr>
          <w:rFonts w:ascii="Tahoma" w:hAnsi="Tahoma" w:cs="Tahoma"/>
          <w:sz w:val="20"/>
        </w:rPr>
        <w:t>137</w:t>
      </w:r>
      <w:r w:rsidR="00750C64" w:rsidRPr="00B46C29">
        <w:rPr>
          <w:rFonts w:ascii="Tahoma" w:hAnsi="Tahoma" w:cs="Tahoma"/>
          <w:sz w:val="20"/>
        </w:rPr>
        <w:t xml:space="preserve"> da </w:t>
      </w:r>
      <w:r w:rsidR="00AC1722" w:rsidRPr="00B46C29">
        <w:rPr>
          <w:rFonts w:ascii="Tahoma" w:hAnsi="Tahoma" w:cs="Tahoma"/>
          <w:sz w:val="20"/>
        </w:rPr>
        <w:t>Portaria MTP</w:t>
      </w:r>
      <w:r w:rsidR="007F6D14" w:rsidRPr="00B46C29">
        <w:rPr>
          <w:rFonts w:ascii="Tahoma" w:hAnsi="Tahoma" w:cs="Tahoma"/>
          <w:sz w:val="20"/>
        </w:rPr>
        <w:t xml:space="preserve"> nº</w:t>
      </w:r>
      <w:r w:rsidR="00AC1722" w:rsidRPr="00B46C29">
        <w:rPr>
          <w:rFonts w:ascii="Tahoma" w:hAnsi="Tahoma" w:cs="Tahoma"/>
          <w:sz w:val="20"/>
        </w:rPr>
        <w:t xml:space="preserve"> 1.467/2022,</w:t>
      </w:r>
      <w:r w:rsidRPr="00B46C29">
        <w:rPr>
          <w:rFonts w:ascii="Tahoma" w:hAnsi="Tahoma" w:cs="Tahoma"/>
          <w:sz w:val="20"/>
        </w:rPr>
        <w:t xml:space="preserve"> onde</w:t>
      </w:r>
      <w:r w:rsidR="007F6D14" w:rsidRPr="00B46C29">
        <w:rPr>
          <w:rFonts w:ascii="Tahoma" w:hAnsi="Tahoma" w:cs="Tahoma"/>
          <w:sz w:val="20"/>
        </w:rPr>
        <w:t xml:space="preserve"> o</w:t>
      </w:r>
      <w:r w:rsidRPr="00B46C29">
        <w:rPr>
          <w:rFonts w:ascii="Tahoma" w:hAnsi="Tahoma" w:cs="Tahoma"/>
          <w:sz w:val="20"/>
        </w:rPr>
        <w:t xml:space="preserve"> Ministério da Previdência Social (MPS) </w:t>
      </w:r>
      <w:r w:rsidR="007E77FF" w:rsidRPr="00B46C29">
        <w:rPr>
          <w:rFonts w:ascii="Tahoma" w:hAnsi="Tahoma" w:cs="Tahoma"/>
          <w:sz w:val="20"/>
        </w:rPr>
        <w:t>determinou</w:t>
      </w:r>
      <w:r w:rsidRPr="00B46C29">
        <w:rPr>
          <w:rFonts w:ascii="Tahoma" w:hAnsi="Tahoma" w:cs="Tahoma"/>
          <w:sz w:val="20"/>
        </w:rPr>
        <w:t xml:space="preserve"> r</w:t>
      </w:r>
      <w:r w:rsidR="007E77FF" w:rsidRPr="00B46C29">
        <w:rPr>
          <w:rFonts w:ascii="Tahoma" w:hAnsi="Tahoma" w:cs="Tahoma"/>
          <w:sz w:val="20"/>
        </w:rPr>
        <w:t>equisitos</w:t>
      </w:r>
      <w:r w:rsidRPr="00C02E24">
        <w:rPr>
          <w:rFonts w:ascii="Tahoma" w:hAnsi="Tahoma" w:cs="Tahoma"/>
          <w:sz w:val="20"/>
        </w:rPr>
        <w:t xml:space="preserve"> para classificar os Regimes Próprios de Previdência Social (RPPS) em que tipo de investidor se enquadra, o RPPS do </w:t>
      </w:r>
      <w:r w:rsidR="008F04AC" w:rsidRPr="00C02E24">
        <w:rPr>
          <w:rFonts w:ascii="Tahoma" w:hAnsi="Tahoma" w:cs="Tahoma"/>
          <w:b/>
          <w:bCs/>
          <w:noProof/>
          <w:sz w:val="20"/>
        </w:rPr>
        <w:fldChar w:fldCharType="begin"/>
      </w:r>
      <w:r w:rsidR="002670EA" w:rsidRPr="00C02E24">
        <w:rPr>
          <w:rFonts w:ascii="Tahoma" w:hAnsi="Tahoma" w:cs="Tahoma"/>
          <w:b/>
          <w:bCs/>
          <w:noProof/>
          <w:sz w:val="20"/>
        </w:rPr>
        <w:instrText xml:space="preserve"> MERGEFIELD RPPS </w:instrText>
      </w:r>
      <w:r w:rsidR="008F04AC" w:rsidRPr="00C02E24">
        <w:rPr>
          <w:rFonts w:ascii="Tahoma" w:hAnsi="Tahoma" w:cs="Tahoma"/>
          <w:b/>
          <w:bCs/>
          <w:noProof/>
          <w:sz w:val="20"/>
        </w:rPr>
        <w:fldChar w:fldCharType="separate"/>
      </w:r>
      <w:r w:rsidR="004A232E" w:rsidRPr="00BC514D">
        <w:rPr>
          <w:rFonts w:ascii="Tahoma" w:hAnsi="Tahoma" w:cs="Tahoma"/>
          <w:b/>
          <w:bCs/>
          <w:noProof/>
          <w:sz w:val="20"/>
        </w:rPr>
        <w:t>MUNICÍPIO DE ENTRE-IJUÍS</w:t>
      </w:r>
      <w:r w:rsidR="008F04AC" w:rsidRPr="00C02E24">
        <w:rPr>
          <w:rFonts w:ascii="Tahoma" w:hAnsi="Tahoma" w:cs="Tahoma"/>
          <w:b/>
          <w:bCs/>
          <w:noProof/>
          <w:sz w:val="20"/>
        </w:rPr>
        <w:fldChar w:fldCharType="end"/>
      </w:r>
      <w:r w:rsidR="00F12C50" w:rsidRPr="00C02E24">
        <w:rPr>
          <w:rFonts w:ascii="Tahoma" w:hAnsi="Tahoma" w:cs="Tahoma"/>
          <w:sz w:val="20"/>
        </w:rPr>
        <w:t xml:space="preserve"> </w:t>
      </w:r>
      <w:r w:rsidRPr="00C02E24">
        <w:rPr>
          <w:rFonts w:ascii="Tahoma" w:hAnsi="Tahoma" w:cs="Tahoma"/>
          <w:sz w:val="20"/>
        </w:rPr>
        <w:t xml:space="preserve">se enquadra como </w:t>
      </w:r>
      <w:r w:rsidR="008F04AC" w:rsidRPr="00C02E24">
        <w:rPr>
          <w:rFonts w:ascii="Tahoma" w:hAnsi="Tahoma" w:cs="Tahoma"/>
          <w:b/>
          <w:bCs/>
          <w:noProof/>
          <w:sz w:val="20"/>
        </w:rPr>
        <w:fldChar w:fldCharType="begin"/>
      </w:r>
      <w:r w:rsidR="002D02EA" w:rsidRPr="00C02E24">
        <w:rPr>
          <w:rFonts w:ascii="Tahoma" w:hAnsi="Tahoma" w:cs="Tahoma"/>
          <w:b/>
          <w:bCs/>
          <w:noProof/>
          <w:sz w:val="20"/>
        </w:rPr>
        <w:instrText xml:space="preserve"> MERGEFIELD TIPO_INVESTIDOR </w:instrText>
      </w:r>
      <w:r w:rsidR="008F04AC" w:rsidRPr="00C02E24">
        <w:rPr>
          <w:rFonts w:ascii="Tahoma" w:hAnsi="Tahoma" w:cs="Tahoma"/>
          <w:b/>
          <w:bCs/>
          <w:noProof/>
          <w:sz w:val="20"/>
        </w:rPr>
        <w:fldChar w:fldCharType="separate"/>
      </w:r>
      <w:r w:rsidR="004A232E" w:rsidRPr="00BC514D">
        <w:rPr>
          <w:rFonts w:ascii="Tahoma" w:hAnsi="Tahoma" w:cs="Tahoma"/>
          <w:b/>
          <w:bCs/>
          <w:noProof/>
          <w:sz w:val="20"/>
        </w:rPr>
        <w:t>Investidor Geral</w:t>
      </w:r>
      <w:r w:rsidR="008F04AC" w:rsidRPr="00C02E24">
        <w:rPr>
          <w:rFonts w:ascii="Tahoma" w:hAnsi="Tahoma" w:cs="Tahoma"/>
          <w:b/>
          <w:bCs/>
          <w:noProof/>
          <w:sz w:val="20"/>
        </w:rPr>
        <w:fldChar w:fldCharType="end"/>
      </w:r>
      <w:r w:rsidRPr="00C02E24">
        <w:rPr>
          <w:rFonts w:ascii="Tahoma" w:hAnsi="Tahoma" w:cs="Tahoma"/>
          <w:sz w:val="20"/>
        </w:rPr>
        <w:t>.</w:t>
      </w:r>
      <w:r w:rsidR="00750C64" w:rsidRPr="00C02E24">
        <w:rPr>
          <w:rFonts w:ascii="Tahoma" w:hAnsi="Tahoma" w:cs="Tahoma"/>
          <w:sz w:val="20"/>
        </w:rPr>
        <w:t xml:space="preserve"> Ainda, o RPPS seguirá as orientações do seu </w:t>
      </w:r>
      <w:r w:rsidR="007F6D14" w:rsidRPr="00C02E24">
        <w:rPr>
          <w:rFonts w:ascii="Tahoma" w:hAnsi="Tahoma" w:cs="Tahoma"/>
          <w:sz w:val="20"/>
        </w:rPr>
        <w:t>T</w:t>
      </w:r>
      <w:r w:rsidR="00750C64" w:rsidRPr="00C02E24">
        <w:rPr>
          <w:rFonts w:ascii="Tahoma" w:hAnsi="Tahoma" w:cs="Tahoma"/>
          <w:sz w:val="20"/>
        </w:rPr>
        <w:t xml:space="preserve">ribunal de </w:t>
      </w:r>
      <w:r w:rsidR="007F6D14" w:rsidRPr="00C02E24">
        <w:rPr>
          <w:rFonts w:ascii="Tahoma" w:hAnsi="Tahoma" w:cs="Tahoma"/>
          <w:sz w:val="20"/>
        </w:rPr>
        <w:t>C</w:t>
      </w:r>
      <w:r w:rsidR="00750C64" w:rsidRPr="00C02E24">
        <w:rPr>
          <w:rFonts w:ascii="Tahoma" w:hAnsi="Tahoma" w:cs="Tahoma"/>
          <w:sz w:val="20"/>
        </w:rPr>
        <w:t>ontas no momento das alocações e futuras alocações.</w:t>
      </w:r>
    </w:p>
    <w:p w:rsidR="00465C63" w:rsidRPr="00C02E24" w:rsidRDefault="00465C63" w:rsidP="00AD12FB">
      <w:pPr>
        <w:spacing w:after="120"/>
        <w:ind w:firstLine="709"/>
        <w:jc w:val="both"/>
        <w:rPr>
          <w:rFonts w:ascii="Tahoma" w:hAnsi="Tahoma" w:cs="Tahoma"/>
          <w:sz w:val="20"/>
        </w:rPr>
      </w:pPr>
      <w:r w:rsidRPr="00C02E24">
        <w:rPr>
          <w:rFonts w:ascii="Tahoma" w:hAnsi="Tahoma" w:cs="Tahoma"/>
          <w:sz w:val="20"/>
        </w:rPr>
        <w:t xml:space="preserve">Com essa </w:t>
      </w:r>
      <w:r w:rsidR="00A4368B" w:rsidRPr="00C02E24">
        <w:rPr>
          <w:rFonts w:ascii="Tahoma" w:hAnsi="Tahoma" w:cs="Tahoma"/>
          <w:sz w:val="20"/>
        </w:rPr>
        <w:t>estratégia alvo</w:t>
      </w:r>
      <w:r w:rsidRPr="00C02E24">
        <w:rPr>
          <w:rFonts w:ascii="Tahoma" w:hAnsi="Tahoma" w:cs="Tahoma"/>
          <w:sz w:val="20"/>
        </w:rPr>
        <w:t xml:space="preserve"> o </w:t>
      </w:r>
      <w:r w:rsidR="008F04AC" w:rsidRPr="00C02E24">
        <w:rPr>
          <w:rFonts w:ascii="Tahoma" w:hAnsi="Tahoma" w:cs="Tahoma"/>
          <w:b/>
          <w:noProof/>
          <w:sz w:val="20"/>
        </w:rPr>
        <w:fldChar w:fldCharType="begin"/>
      </w:r>
      <w:r w:rsidR="002D02EA" w:rsidRPr="00C02E24">
        <w:rPr>
          <w:rFonts w:ascii="Tahoma" w:hAnsi="Tahoma" w:cs="Tahoma"/>
          <w:b/>
          <w:noProof/>
          <w:sz w:val="20"/>
        </w:rPr>
        <w:instrText xml:space="preserve"> MERGEFIELD NOME_DO_FUNDO </w:instrText>
      </w:r>
      <w:r w:rsidR="008F04AC" w:rsidRPr="00C02E24">
        <w:rPr>
          <w:rFonts w:ascii="Tahoma" w:hAnsi="Tahoma" w:cs="Tahoma"/>
          <w:b/>
          <w:noProof/>
          <w:sz w:val="20"/>
        </w:rPr>
        <w:fldChar w:fldCharType="separate"/>
      </w:r>
      <w:r w:rsidR="004A232E" w:rsidRPr="00BC514D">
        <w:rPr>
          <w:rFonts w:ascii="Tahoma" w:hAnsi="Tahoma" w:cs="Tahoma"/>
          <w:b/>
          <w:noProof/>
          <w:sz w:val="20"/>
        </w:rPr>
        <w:t>REGIME PRÓPRIO DE PREVIDÊNCIA DO SERVIDOR DE ENTRE-IJUÍS</w:t>
      </w:r>
      <w:r w:rsidR="008F04AC" w:rsidRPr="00C02E24">
        <w:rPr>
          <w:rFonts w:ascii="Tahoma" w:hAnsi="Tahoma" w:cs="Tahoma"/>
          <w:b/>
          <w:noProof/>
          <w:sz w:val="20"/>
        </w:rPr>
        <w:fldChar w:fldCharType="end"/>
      </w:r>
      <w:r w:rsidRPr="00C02E24">
        <w:rPr>
          <w:rFonts w:ascii="Tahoma" w:hAnsi="Tahoma" w:cs="Tahoma"/>
          <w:b/>
          <w:noProof/>
          <w:sz w:val="20"/>
        </w:rPr>
        <w:t xml:space="preserve"> </w:t>
      </w:r>
      <w:r w:rsidRPr="00C02E24">
        <w:rPr>
          <w:rFonts w:ascii="Tahoma" w:hAnsi="Tahoma" w:cs="Tahoma"/>
          <w:sz w:val="20"/>
        </w:rPr>
        <w:t>tem o intuito de buscar a melhor rentabilidade com menos volatilidade. Como já mencionado no cenário econômico</w:t>
      </w:r>
      <w:r w:rsidR="008C0910" w:rsidRPr="00C02E24">
        <w:rPr>
          <w:rFonts w:ascii="Tahoma" w:hAnsi="Tahoma" w:cs="Tahoma"/>
          <w:sz w:val="20"/>
        </w:rPr>
        <w:t>,</w:t>
      </w:r>
      <w:r w:rsidRPr="00C02E24">
        <w:rPr>
          <w:rFonts w:ascii="Tahoma" w:hAnsi="Tahoma" w:cs="Tahoma"/>
          <w:sz w:val="20"/>
        </w:rPr>
        <w:t xml:space="preserve"> acredita-se que </w:t>
      </w:r>
      <w:r w:rsidR="00E23CC0" w:rsidRPr="00C02E24">
        <w:rPr>
          <w:rFonts w:ascii="Tahoma" w:hAnsi="Tahoma" w:cs="Tahoma"/>
          <w:sz w:val="20"/>
        </w:rPr>
        <w:t>o ano de 202</w:t>
      </w:r>
      <w:r w:rsidR="00B46C29">
        <w:rPr>
          <w:rFonts w:ascii="Tahoma" w:hAnsi="Tahoma" w:cs="Tahoma"/>
          <w:sz w:val="20"/>
        </w:rPr>
        <w:t>5</w:t>
      </w:r>
      <w:r w:rsidR="00E23CC0" w:rsidRPr="00C02E24">
        <w:rPr>
          <w:rFonts w:ascii="Tahoma" w:hAnsi="Tahoma" w:cs="Tahoma"/>
          <w:sz w:val="20"/>
        </w:rPr>
        <w:t xml:space="preserve"> será cheio de desafios</w:t>
      </w:r>
      <w:r w:rsidR="008C0910" w:rsidRPr="00C02E24">
        <w:rPr>
          <w:rFonts w:ascii="Tahoma" w:hAnsi="Tahoma" w:cs="Tahoma"/>
          <w:sz w:val="20"/>
        </w:rPr>
        <w:t>,</w:t>
      </w:r>
      <w:r w:rsidRPr="00C02E24">
        <w:rPr>
          <w:rFonts w:ascii="Tahoma" w:hAnsi="Tahoma" w:cs="Tahoma"/>
          <w:sz w:val="20"/>
        </w:rPr>
        <w:t xml:space="preserve"> </w:t>
      </w:r>
      <w:r w:rsidR="00E23CC0" w:rsidRPr="00C02E24">
        <w:rPr>
          <w:rFonts w:ascii="Tahoma" w:hAnsi="Tahoma" w:cs="Tahoma"/>
          <w:sz w:val="20"/>
        </w:rPr>
        <w:t>assim</w:t>
      </w:r>
      <w:r w:rsidR="008C0910" w:rsidRPr="00C02E24">
        <w:rPr>
          <w:rFonts w:ascii="Tahoma" w:hAnsi="Tahoma" w:cs="Tahoma"/>
          <w:sz w:val="20"/>
        </w:rPr>
        <w:t>,</w:t>
      </w:r>
      <w:r w:rsidR="00E23CC0" w:rsidRPr="00C02E24">
        <w:rPr>
          <w:rFonts w:ascii="Tahoma" w:hAnsi="Tahoma" w:cs="Tahoma"/>
          <w:sz w:val="20"/>
        </w:rPr>
        <w:t xml:space="preserve"> </w:t>
      </w:r>
      <w:r w:rsidRPr="00C02E24">
        <w:rPr>
          <w:rFonts w:ascii="Tahoma" w:hAnsi="Tahoma" w:cs="Tahoma"/>
          <w:sz w:val="20"/>
        </w:rPr>
        <w:t>novas alternativas de investimentos</w:t>
      </w:r>
      <w:r w:rsidR="00E23CC0" w:rsidRPr="00C02E24">
        <w:rPr>
          <w:rFonts w:ascii="Tahoma" w:hAnsi="Tahoma" w:cs="Tahoma"/>
          <w:sz w:val="20"/>
        </w:rPr>
        <w:t xml:space="preserve"> pode</w:t>
      </w:r>
      <w:r w:rsidR="00A4368B" w:rsidRPr="00C02E24">
        <w:rPr>
          <w:rFonts w:ascii="Tahoma" w:hAnsi="Tahoma" w:cs="Tahoma"/>
          <w:sz w:val="20"/>
        </w:rPr>
        <w:t>rão</w:t>
      </w:r>
      <w:r w:rsidR="00E23CC0" w:rsidRPr="00C02E24">
        <w:rPr>
          <w:rFonts w:ascii="Tahoma" w:hAnsi="Tahoma" w:cs="Tahoma"/>
          <w:sz w:val="20"/>
        </w:rPr>
        <w:t xml:space="preserve"> </w:t>
      </w:r>
      <w:r w:rsidR="00A4368B" w:rsidRPr="00C02E24">
        <w:rPr>
          <w:rFonts w:ascii="Tahoma" w:hAnsi="Tahoma" w:cs="Tahoma"/>
          <w:sz w:val="20"/>
        </w:rPr>
        <w:t>surgir</w:t>
      </w:r>
      <w:r w:rsidRPr="00C02E24">
        <w:rPr>
          <w:rFonts w:ascii="Tahoma" w:hAnsi="Tahoma" w:cs="Tahoma"/>
          <w:sz w:val="20"/>
        </w:rPr>
        <w:t>,</w:t>
      </w:r>
      <w:r w:rsidR="00A4368B" w:rsidRPr="00C02E24">
        <w:rPr>
          <w:rFonts w:ascii="Tahoma" w:hAnsi="Tahoma" w:cs="Tahoma"/>
          <w:sz w:val="20"/>
        </w:rPr>
        <w:t xml:space="preserve"> ou seja, alternativas</w:t>
      </w:r>
      <w:r w:rsidRPr="00C02E24">
        <w:rPr>
          <w:rFonts w:ascii="Tahoma" w:hAnsi="Tahoma" w:cs="Tahoma"/>
          <w:sz w:val="20"/>
        </w:rPr>
        <w:t xml:space="preserve"> que não estão contempladas na estratégia alvo e, neste caso, serão devidamente analisadas e havendo decisão pelo investimento, caso não esteja previsto no limite superior, será necessário alterar </w:t>
      </w:r>
      <w:r w:rsidR="00A4368B" w:rsidRPr="00C02E24">
        <w:rPr>
          <w:rFonts w:ascii="Tahoma" w:hAnsi="Tahoma" w:cs="Tahoma"/>
          <w:sz w:val="20"/>
        </w:rPr>
        <w:t>a presente</w:t>
      </w:r>
      <w:r w:rsidRPr="00C02E24">
        <w:rPr>
          <w:rFonts w:ascii="Tahoma" w:hAnsi="Tahoma" w:cs="Tahoma"/>
          <w:sz w:val="20"/>
        </w:rPr>
        <w:t xml:space="preserve"> pol</w:t>
      </w:r>
      <w:r w:rsidR="00EB5A51" w:rsidRPr="00C02E24">
        <w:rPr>
          <w:rFonts w:ascii="Tahoma" w:hAnsi="Tahoma" w:cs="Tahoma"/>
          <w:sz w:val="20"/>
        </w:rPr>
        <w:t>í</w:t>
      </w:r>
      <w:r w:rsidRPr="00C02E24">
        <w:rPr>
          <w:rFonts w:ascii="Tahoma" w:hAnsi="Tahoma" w:cs="Tahoma"/>
          <w:sz w:val="20"/>
        </w:rPr>
        <w:t>tica de investimento</w:t>
      </w:r>
      <w:r w:rsidR="008C0910" w:rsidRPr="00C02E24">
        <w:rPr>
          <w:rFonts w:ascii="Tahoma" w:hAnsi="Tahoma" w:cs="Tahoma"/>
          <w:sz w:val="20"/>
        </w:rPr>
        <w:t>s</w:t>
      </w:r>
      <w:r w:rsidRPr="00C02E24">
        <w:rPr>
          <w:rFonts w:ascii="Tahoma" w:hAnsi="Tahoma" w:cs="Tahoma"/>
          <w:sz w:val="20"/>
        </w:rPr>
        <w:t xml:space="preserve">, conforme previsão </w:t>
      </w:r>
      <w:r w:rsidR="00A4368B" w:rsidRPr="00C02E24">
        <w:rPr>
          <w:rFonts w:ascii="Tahoma" w:hAnsi="Tahoma" w:cs="Tahoma"/>
          <w:sz w:val="20"/>
        </w:rPr>
        <w:t xml:space="preserve">legal </w:t>
      </w:r>
      <w:r w:rsidRPr="00C02E24">
        <w:rPr>
          <w:rFonts w:ascii="Tahoma" w:hAnsi="Tahoma" w:cs="Tahoma"/>
          <w:sz w:val="20"/>
        </w:rPr>
        <w:t>vigente.</w:t>
      </w:r>
    </w:p>
    <w:p w:rsidR="00465C63" w:rsidRDefault="00465C63" w:rsidP="00AD12FB">
      <w:pPr>
        <w:spacing w:after="120"/>
        <w:ind w:firstLine="709"/>
        <w:jc w:val="both"/>
        <w:rPr>
          <w:rFonts w:ascii="Tahoma" w:hAnsi="Tahoma" w:cs="Tahoma"/>
          <w:sz w:val="20"/>
        </w:rPr>
      </w:pPr>
      <w:r w:rsidRPr="00C02E24">
        <w:rPr>
          <w:rFonts w:ascii="Tahoma" w:hAnsi="Tahoma" w:cs="Tahoma"/>
          <w:sz w:val="20"/>
        </w:rPr>
        <w:t xml:space="preserve">Em resumo, os investimentos do </w:t>
      </w:r>
      <w:r w:rsidR="008F04AC" w:rsidRPr="00C02E24">
        <w:rPr>
          <w:rFonts w:ascii="Tahoma" w:hAnsi="Tahoma" w:cs="Tahoma"/>
          <w:b/>
          <w:noProof/>
          <w:sz w:val="20"/>
        </w:rPr>
        <w:fldChar w:fldCharType="begin"/>
      </w:r>
      <w:r w:rsidR="002D02EA" w:rsidRPr="00C02E24">
        <w:rPr>
          <w:rFonts w:ascii="Tahoma" w:hAnsi="Tahoma" w:cs="Tahoma"/>
          <w:b/>
          <w:noProof/>
          <w:sz w:val="20"/>
        </w:rPr>
        <w:instrText xml:space="preserve"> MERGEFIELD NOME_DO_FUNDO </w:instrText>
      </w:r>
      <w:r w:rsidR="008F04AC" w:rsidRPr="00C02E24">
        <w:rPr>
          <w:rFonts w:ascii="Tahoma" w:hAnsi="Tahoma" w:cs="Tahoma"/>
          <w:b/>
          <w:noProof/>
          <w:sz w:val="20"/>
        </w:rPr>
        <w:fldChar w:fldCharType="separate"/>
      </w:r>
      <w:r w:rsidR="004A232E" w:rsidRPr="00BC514D">
        <w:rPr>
          <w:rFonts w:ascii="Tahoma" w:hAnsi="Tahoma" w:cs="Tahoma"/>
          <w:b/>
          <w:noProof/>
          <w:sz w:val="20"/>
        </w:rPr>
        <w:t>REGIME PRÓPRIO DE PREVIDÊNCIA DO SERVIDOR DE ENTRE-IJUÍS</w:t>
      </w:r>
      <w:r w:rsidR="008F04AC" w:rsidRPr="00C02E24">
        <w:rPr>
          <w:rFonts w:ascii="Tahoma" w:hAnsi="Tahoma" w:cs="Tahoma"/>
          <w:b/>
          <w:noProof/>
          <w:sz w:val="20"/>
        </w:rPr>
        <w:fldChar w:fldCharType="end"/>
      </w:r>
      <w:r w:rsidRPr="00C02E24">
        <w:rPr>
          <w:rFonts w:ascii="Tahoma" w:hAnsi="Tahoma" w:cs="Tahoma"/>
          <w:sz w:val="20"/>
        </w:rPr>
        <w:t xml:space="preserve"> em 202</w:t>
      </w:r>
      <w:r w:rsidR="00E16EDA" w:rsidRPr="00C02E24">
        <w:rPr>
          <w:rFonts w:ascii="Tahoma" w:hAnsi="Tahoma" w:cs="Tahoma"/>
          <w:sz w:val="20"/>
        </w:rPr>
        <w:t>5</w:t>
      </w:r>
      <w:r w:rsidRPr="00C02E24">
        <w:rPr>
          <w:rFonts w:ascii="Tahoma" w:hAnsi="Tahoma" w:cs="Tahoma"/>
          <w:sz w:val="20"/>
        </w:rPr>
        <w:t>, seguirão a distribuição</w:t>
      </w:r>
      <w:r w:rsidR="004C3531" w:rsidRPr="00C02E24">
        <w:rPr>
          <w:rFonts w:ascii="Tahoma" w:hAnsi="Tahoma" w:cs="Tahoma"/>
          <w:sz w:val="20"/>
        </w:rPr>
        <w:t xml:space="preserve"> conforme tabela em anexo a este documento.</w:t>
      </w:r>
    </w:p>
    <w:p w:rsidR="00465C63" w:rsidRDefault="00465C63" w:rsidP="00AD12FB">
      <w:pPr>
        <w:spacing w:after="120"/>
        <w:ind w:firstLine="709"/>
        <w:rPr>
          <w:rStyle w:val="SubttuloChar"/>
          <w:sz w:val="20"/>
        </w:rPr>
      </w:pPr>
      <w:r w:rsidRPr="00E8601E">
        <w:rPr>
          <w:rStyle w:val="SubttuloChar"/>
          <w:sz w:val="20"/>
        </w:rPr>
        <w:br w:type="page"/>
      </w:r>
    </w:p>
    <w:bookmarkStart w:id="45" w:name="_Toc181778188"/>
    <w:p w:rsidR="00465C63" w:rsidRPr="00E8601E" w:rsidRDefault="00AD12FB" w:rsidP="000C021C">
      <w:pPr>
        <w:pStyle w:val="Ttulo1"/>
        <w:rPr>
          <w:sz w:val="20"/>
        </w:rPr>
      </w:pPr>
      <w:r w:rsidRPr="00E4782B">
        <w:object w:dxaOrig="2425" w:dyaOrig="2598">
          <v:shape id="_x0000_i1073" type="#_x0000_t75" style="width:9.4pt;height:8.15pt" o:ole="">
            <v:imagedata r:id="rId8" o:title=""/>
          </v:shape>
          <o:OLEObject Type="Embed" ProgID="CorelDRAW.Graphic.13" ShapeID="_x0000_i1073" DrawAspect="Content" ObjectID="_1792498609" r:id="rId72"/>
        </w:object>
      </w:r>
      <w:r w:rsidR="00465C63" w:rsidRPr="000C021C">
        <w:rPr>
          <w:rStyle w:val="Ttulo1Char"/>
          <w:b/>
          <w:bCs/>
          <w:sz w:val="22"/>
        </w:rPr>
        <w:t>VEDAÇÕES</w:t>
      </w:r>
      <w:r w:rsidR="00465C63" w:rsidRPr="00E8601E">
        <w:rPr>
          <w:sz w:val="20"/>
        </w:rPr>
        <w:t xml:space="preserve"> </w:t>
      </w:r>
      <w:bookmarkEnd w:id="45"/>
      <w:r w:rsidR="00465C63" w:rsidRPr="00E8601E">
        <w:rPr>
          <w:sz w:val="20"/>
        </w:rPr>
        <w:object w:dxaOrig="3163" w:dyaOrig="3187">
          <v:shape id="_x0000_i1074" type="#_x0000_t75" style="width:21.9pt;height:23.15pt" o:ole="">
            <v:imagedata r:id="rId10" o:title=""/>
          </v:shape>
          <o:OLEObject Type="Embed" ProgID="CorelDRAW.Graphic.13" ShapeID="_x0000_i1074" DrawAspect="Content" ObjectID="_1792498610" r:id="rId73"/>
        </w:object>
      </w:r>
    </w:p>
    <w:p w:rsidR="00465C63" w:rsidRPr="00E8601E" w:rsidRDefault="00465C63" w:rsidP="00AD12FB">
      <w:pPr>
        <w:pStyle w:val="PargrafodaLista"/>
        <w:numPr>
          <w:ilvl w:val="0"/>
          <w:numId w:val="1"/>
        </w:numPr>
        <w:spacing w:after="120"/>
        <w:ind w:firstLine="709"/>
        <w:jc w:val="both"/>
        <w:rPr>
          <w:rFonts w:ascii="Tahoma" w:hAnsi="Tahoma" w:cs="Tahoma"/>
          <w:sz w:val="20"/>
        </w:rPr>
      </w:pPr>
      <w:r w:rsidRPr="00E8601E">
        <w:rPr>
          <w:rFonts w:ascii="Tahoma" w:hAnsi="Tahoma" w:cs="Tahoma"/>
          <w:sz w:val="20"/>
        </w:rPr>
        <w:t>Aplicar os recursos em cotas de fundos de investimentos, cuja atuação em mercados de derivativos gere exposições superiores ao respectivo patrimônio líquido;</w:t>
      </w:r>
    </w:p>
    <w:p w:rsidR="00465C63" w:rsidRPr="00E8601E" w:rsidRDefault="00A4368B" w:rsidP="00AD12FB">
      <w:pPr>
        <w:pStyle w:val="Default"/>
        <w:numPr>
          <w:ilvl w:val="0"/>
          <w:numId w:val="1"/>
        </w:numPr>
        <w:spacing w:after="120"/>
        <w:ind w:firstLine="709"/>
        <w:jc w:val="both"/>
        <w:rPr>
          <w:rFonts w:ascii="Tahoma" w:hAnsi="Tahoma" w:cs="Tahoma"/>
          <w:sz w:val="20"/>
          <w:szCs w:val="22"/>
        </w:rPr>
      </w:pPr>
      <w:r>
        <w:rPr>
          <w:rFonts w:ascii="Tahoma" w:hAnsi="Tahoma" w:cs="Tahoma"/>
          <w:sz w:val="20"/>
          <w:szCs w:val="22"/>
        </w:rPr>
        <w:t>A</w:t>
      </w:r>
      <w:r w:rsidR="009134DA" w:rsidRPr="009134DA">
        <w:rPr>
          <w:rFonts w:ascii="Tahoma" w:hAnsi="Tahoma" w:cs="Tahoma"/>
          <w:sz w:val="20"/>
          <w:szCs w:val="22"/>
        </w:rPr>
        <w:t>plicar recursos, diretamente ou por meio de cotas de fundo de investimento, em títulos ou outros ativos financeiros nos quais o ente federativo figure como emissor, devedor ou preste fiança, aval, aceite ou coobrigação sob qualquer outra forma</w:t>
      </w:r>
      <w:r w:rsidR="00465C63" w:rsidRPr="00E8601E">
        <w:rPr>
          <w:rFonts w:ascii="Tahoma" w:hAnsi="Tahoma" w:cs="Tahoma"/>
          <w:sz w:val="20"/>
          <w:szCs w:val="22"/>
        </w:rPr>
        <w:t xml:space="preserve">; </w:t>
      </w:r>
    </w:p>
    <w:p w:rsidR="00465C63" w:rsidRPr="00E8601E" w:rsidRDefault="00A4368B" w:rsidP="00AD12FB">
      <w:pPr>
        <w:pStyle w:val="Default"/>
        <w:numPr>
          <w:ilvl w:val="0"/>
          <w:numId w:val="1"/>
        </w:numPr>
        <w:spacing w:after="120"/>
        <w:ind w:firstLine="709"/>
        <w:jc w:val="both"/>
        <w:rPr>
          <w:rFonts w:ascii="Tahoma" w:hAnsi="Tahoma" w:cs="Tahoma"/>
          <w:sz w:val="20"/>
          <w:szCs w:val="22"/>
        </w:rPr>
      </w:pPr>
      <w:r>
        <w:rPr>
          <w:rFonts w:ascii="Tahoma" w:hAnsi="Tahoma" w:cs="Tahoma"/>
          <w:sz w:val="20"/>
          <w:szCs w:val="22"/>
        </w:rPr>
        <w:t>A</w:t>
      </w:r>
      <w:r w:rsidR="009134DA" w:rsidRPr="009134DA">
        <w:rPr>
          <w:rFonts w:ascii="Tahoma" w:hAnsi="Tahoma" w:cs="Tahoma"/>
          <w:sz w:val="20"/>
          <w:szCs w:val="22"/>
        </w:rPr>
        <w:t>plicar recursos na aquisição de cotas de fundo de investimento em direitos creditórios não padronizados</w:t>
      </w:r>
      <w:r w:rsidR="00465C63">
        <w:rPr>
          <w:rFonts w:ascii="Tahoma" w:hAnsi="Tahoma" w:cs="Tahoma"/>
          <w:sz w:val="20"/>
          <w:szCs w:val="22"/>
        </w:rPr>
        <w:t>;</w:t>
      </w:r>
    </w:p>
    <w:p w:rsidR="00465C63" w:rsidRPr="00C02E24" w:rsidRDefault="00A4368B" w:rsidP="00AD12FB">
      <w:pPr>
        <w:pStyle w:val="Default"/>
        <w:numPr>
          <w:ilvl w:val="0"/>
          <w:numId w:val="1"/>
        </w:numPr>
        <w:spacing w:after="120"/>
        <w:ind w:firstLine="709"/>
        <w:jc w:val="both"/>
        <w:rPr>
          <w:rFonts w:ascii="Tahoma" w:hAnsi="Tahoma" w:cs="Tahoma"/>
          <w:sz w:val="20"/>
          <w:szCs w:val="22"/>
        </w:rPr>
      </w:pPr>
      <w:r w:rsidRPr="00C02E24">
        <w:rPr>
          <w:rFonts w:ascii="Tahoma" w:hAnsi="Tahoma" w:cs="Tahoma"/>
          <w:sz w:val="20"/>
          <w:szCs w:val="22"/>
        </w:rPr>
        <w:t>R</w:t>
      </w:r>
      <w:r w:rsidR="009134DA" w:rsidRPr="00C02E24">
        <w:rPr>
          <w:rFonts w:ascii="Tahoma" w:hAnsi="Tahoma" w:cs="Tahoma"/>
          <w:sz w:val="20"/>
          <w:szCs w:val="22"/>
        </w:rPr>
        <w:t xml:space="preserve">ealizar diretamente operações de compra e venda de um mesmo ativo financeiro em um mesmo dia (operações </w:t>
      </w:r>
      <w:r w:rsidR="009134DA" w:rsidRPr="00C02E24">
        <w:rPr>
          <w:rFonts w:ascii="Tahoma" w:hAnsi="Tahoma" w:cs="Tahoma"/>
          <w:i/>
          <w:iCs/>
          <w:sz w:val="20"/>
          <w:szCs w:val="22"/>
        </w:rPr>
        <w:t>day trade</w:t>
      </w:r>
      <w:r w:rsidR="009134DA" w:rsidRPr="00C02E24">
        <w:rPr>
          <w:rFonts w:ascii="Tahoma" w:hAnsi="Tahoma" w:cs="Tahoma"/>
          <w:sz w:val="20"/>
          <w:szCs w:val="22"/>
        </w:rPr>
        <w:t>)</w:t>
      </w:r>
      <w:r w:rsidR="00465C63" w:rsidRPr="00C02E24">
        <w:rPr>
          <w:rFonts w:ascii="Tahoma" w:hAnsi="Tahoma" w:cs="Tahoma"/>
          <w:sz w:val="20"/>
          <w:szCs w:val="22"/>
        </w:rPr>
        <w:t>;</w:t>
      </w:r>
    </w:p>
    <w:p w:rsidR="00465C63" w:rsidRPr="00C02E24" w:rsidRDefault="00A4368B" w:rsidP="00AD12FB">
      <w:pPr>
        <w:pStyle w:val="Default"/>
        <w:numPr>
          <w:ilvl w:val="0"/>
          <w:numId w:val="1"/>
        </w:numPr>
        <w:spacing w:after="120"/>
        <w:ind w:firstLine="709"/>
        <w:jc w:val="both"/>
        <w:rPr>
          <w:rFonts w:ascii="Tahoma" w:hAnsi="Tahoma" w:cs="Tahoma"/>
          <w:sz w:val="20"/>
          <w:szCs w:val="22"/>
        </w:rPr>
      </w:pPr>
      <w:r w:rsidRPr="00C02E24">
        <w:rPr>
          <w:rFonts w:ascii="Tahoma" w:hAnsi="Tahoma" w:cs="Tahoma"/>
          <w:sz w:val="20"/>
          <w:szCs w:val="22"/>
        </w:rPr>
        <w:t>A</w:t>
      </w:r>
      <w:r w:rsidR="009134DA" w:rsidRPr="00C02E24">
        <w:rPr>
          <w:rFonts w:ascii="Tahoma" w:hAnsi="Tahoma" w:cs="Tahoma"/>
          <w:sz w:val="20"/>
          <w:szCs w:val="22"/>
        </w:rPr>
        <w:t>tuar em modalidades operacionais ou negociar com duplicatas, títulos de crédito ou outros ativos que não os previstos nesta Resolução</w:t>
      </w:r>
      <w:r w:rsidR="00465C63" w:rsidRPr="00C02E24">
        <w:rPr>
          <w:rFonts w:ascii="Tahoma" w:hAnsi="Tahoma" w:cs="Tahoma"/>
          <w:sz w:val="20"/>
          <w:szCs w:val="22"/>
        </w:rPr>
        <w:t>;</w:t>
      </w:r>
    </w:p>
    <w:p w:rsidR="00465C63" w:rsidRPr="00C02E24" w:rsidRDefault="00A4368B" w:rsidP="00AD12FB">
      <w:pPr>
        <w:pStyle w:val="Default"/>
        <w:numPr>
          <w:ilvl w:val="0"/>
          <w:numId w:val="1"/>
        </w:numPr>
        <w:spacing w:after="120"/>
        <w:ind w:firstLine="709"/>
        <w:jc w:val="both"/>
        <w:rPr>
          <w:rFonts w:ascii="Tahoma" w:hAnsi="Tahoma" w:cs="Tahoma"/>
          <w:sz w:val="20"/>
          <w:szCs w:val="22"/>
        </w:rPr>
      </w:pPr>
      <w:r w:rsidRPr="00C02E24">
        <w:rPr>
          <w:rFonts w:ascii="Tahoma" w:hAnsi="Tahoma" w:cs="Tahoma"/>
          <w:sz w:val="20"/>
          <w:szCs w:val="22"/>
        </w:rPr>
        <w:t>N</w:t>
      </w:r>
      <w:r w:rsidR="009134DA" w:rsidRPr="00C02E24">
        <w:rPr>
          <w:rFonts w:ascii="Tahoma" w:hAnsi="Tahoma" w:cs="Tahoma"/>
          <w:sz w:val="20"/>
          <w:szCs w:val="22"/>
        </w:rPr>
        <w:t>egociar cotas de fundos de índice em mercado de balcão;</w:t>
      </w:r>
    </w:p>
    <w:p w:rsidR="009134DA" w:rsidRPr="00C02E24" w:rsidRDefault="00A4368B" w:rsidP="00AD12FB">
      <w:pPr>
        <w:pStyle w:val="Default"/>
        <w:numPr>
          <w:ilvl w:val="0"/>
          <w:numId w:val="1"/>
        </w:numPr>
        <w:spacing w:after="120"/>
        <w:ind w:firstLine="709"/>
        <w:jc w:val="both"/>
        <w:rPr>
          <w:rFonts w:ascii="Tahoma" w:hAnsi="Tahoma" w:cs="Tahoma"/>
          <w:sz w:val="20"/>
          <w:szCs w:val="22"/>
        </w:rPr>
      </w:pPr>
      <w:r w:rsidRPr="00C02E24">
        <w:rPr>
          <w:rFonts w:ascii="Tahoma" w:hAnsi="Tahoma" w:cs="Tahoma"/>
          <w:sz w:val="20"/>
          <w:szCs w:val="22"/>
        </w:rPr>
        <w:t>A</w:t>
      </w:r>
      <w:r w:rsidR="009134DA" w:rsidRPr="00C02E24">
        <w:rPr>
          <w:rFonts w:ascii="Tahoma" w:hAnsi="Tahoma" w:cs="Tahoma"/>
          <w:sz w:val="20"/>
          <w:szCs w:val="22"/>
        </w:rPr>
        <w:t>plicar recursos diretamente na aquisição de cotas de fundo de investimento destinado exclusivamente a investidores qualificados ou profissionais, quando não atendidos os critérios estabelecidos em regulamentação específica;</w:t>
      </w:r>
    </w:p>
    <w:p w:rsidR="009134DA" w:rsidRPr="00C02E24" w:rsidRDefault="00EC09AA" w:rsidP="00AD12FB">
      <w:pPr>
        <w:pStyle w:val="Default"/>
        <w:numPr>
          <w:ilvl w:val="0"/>
          <w:numId w:val="1"/>
        </w:numPr>
        <w:spacing w:after="120"/>
        <w:ind w:firstLine="709"/>
        <w:jc w:val="both"/>
        <w:rPr>
          <w:rFonts w:ascii="Tahoma" w:hAnsi="Tahoma" w:cs="Tahoma"/>
          <w:sz w:val="20"/>
          <w:szCs w:val="22"/>
        </w:rPr>
      </w:pPr>
      <w:r w:rsidRPr="00C02E24">
        <w:rPr>
          <w:rFonts w:ascii="Tahoma" w:hAnsi="Tahoma" w:cs="Tahoma"/>
          <w:sz w:val="20"/>
          <w:szCs w:val="22"/>
        </w:rPr>
        <w:t>Re</w:t>
      </w:r>
      <w:r w:rsidR="00A4368B" w:rsidRPr="00C02E24">
        <w:rPr>
          <w:rFonts w:ascii="Tahoma" w:hAnsi="Tahoma" w:cs="Tahoma"/>
          <w:sz w:val="20"/>
          <w:szCs w:val="22"/>
        </w:rPr>
        <w:t>n</w:t>
      </w:r>
      <w:r w:rsidR="00236C13" w:rsidRPr="00C02E24">
        <w:rPr>
          <w:rFonts w:ascii="Tahoma" w:hAnsi="Tahoma" w:cs="Tahoma"/>
          <w:sz w:val="20"/>
          <w:szCs w:val="22"/>
        </w:rPr>
        <w:t>u</w:t>
      </w:r>
      <w:r w:rsidR="00A4368B" w:rsidRPr="00C02E24">
        <w:rPr>
          <w:rFonts w:ascii="Tahoma" w:hAnsi="Tahoma" w:cs="Tahoma"/>
          <w:sz w:val="20"/>
          <w:szCs w:val="22"/>
        </w:rPr>
        <w:t>m</w:t>
      </w:r>
      <w:r w:rsidR="00236C13" w:rsidRPr="00C02E24">
        <w:rPr>
          <w:rFonts w:ascii="Tahoma" w:hAnsi="Tahoma" w:cs="Tahoma"/>
          <w:sz w:val="20"/>
          <w:szCs w:val="22"/>
        </w:rPr>
        <w:t>erar quaisquer prestadores de serviço relacionados</w:t>
      </w:r>
      <w:r w:rsidR="002104B1" w:rsidRPr="00C02E24">
        <w:rPr>
          <w:rFonts w:ascii="Tahoma" w:hAnsi="Tahoma" w:cs="Tahoma"/>
          <w:sz w:val="20"/>
          <w:szCs w:val="22"/>
        </w:rPr>
        <w:t>,</w:t>
      </w:r>
      <w:r w:rsidR="00236C13" w:rsidRPr="00C02E24">
        <w:rPr>
          <w:rFonts w:ascii="Tahoma" w:hAnsi="Tahoma" w:cs="Tahoma"/>
          <w:sz w:val="20"/>
          <w:szCs w:val="22"/>
        </w:rPr>
        <w:t xml:space="preserve"> direta ou indiretamente</w:t>
      </w:r>
      <w:r w:rsidR="002104B1" w:rsidRPr="00C02E24">
        <w:rPr>
          <w:rFonts w:ascii="Tahoma" w:hAnsi="Tahoma" w:cs="Tahoma"/>
          <w:sz w:val="20"/>
          <w:szCs w:val="22"/>
        </w:rPr>
        <w:t>,</w:t>
      </w:r>
      <w:r w:rsidR="00236C13" w:rsidRPr="00C02E24">
        <w:rPr>
          <w:rFonts w:ascii="Tahoma" w:hAnsi="Tahoma" w:cs="Tahoma"/>
          <w:sz w:val="20"/>
          <w:szCs w:val="22"/>
        </w:rPr>
        <w:t xml:space="preserve"> aos fundos de investimento em que foram aplicados seus recursos, de forma distinta das seguintes: a) taxas de administração, performance, ingresso ou saída</w:t>
      </w:r>
      <w:r w:rsidR="002104B1" w:rsidRPr="00C02E24">
        <w:rPr>
          <w:rFonts w:ascii="Tahoma" w:hAnsi="Tahoma" w:cs="Tahoma"/>
          <w:sz w:val="20"/>
          <w:szCs w:val="22"/>
        </w:rPr>
        <w:t>,</w:t>
      </w:r>
      <w:r w:rsidR="00236C13" w:rsidRPr="00C02E24">
        <w:rPr>
          <w:rFonts w:ascii="Tahoma" w:hAnsi="Tahoma" w:cs="Tahoma"/>
          <w:sz w:val="20"/>
          <w:szCs w:val="22"/>
        </w:rPr>
        <w:t xml:space="preserve"> previstas em regulamento ou contrato de carteira administrada; ou b) encargos do fundo, nos termos da regulamentação da CVM;</w:t>
      </w:r>
    </w:p>
    <w:p w:rsidR="00236C13" w:rsidRPr="00C02E24" w:rsidRDefault="00A4368B" w:rsidP="00AD12FB">
      <w:pPr>
        <w:pStyle w:val="Default"/>
        <w:numPr>
          <w:ilvl w:val="0"/>
          <w:numId w:val="1"/>
        </w:numPr>
        <w:spacing w:after="120"/>
        <w:ind w:firstLine="709"/>
        <w:jc w:val="both"/>
        <w:rPr>
          <w:rFonts w:ascii="Tahoma" w:hAnsi="Tahoma" w:cs="Tahoma"/>
          <w:sz w:val="20"/>
          <w:szCs w:val="22"/>
        </w:rPr>
      </w:pPr>
      <w:r w:rsidRPr="00C02E24">
        <w:rPr>
          <w:rFonts w:ascii="Tahoma" w:hAnsi="Tahoma" w:cs="Tahoma"/>
          <w:sz w:val="20"/>
          <w:szCs w:val="22"/>
        </w:rPr>
        <w:t>A</w:t>
      </w:r>
      <w:r w:rsidR="00236C13" w:rsidRPr="00C02E24">
        <w:rPr>
          <w:rFonts w:ascii="Tahoma" w:hAnsi="Tahoma" w:cs="Tahoma"/>
          <w:sz w:val="20"/>
          <w:szCs w:val="22"/>
        </w:rPr>
        <w:t>plicar recursos diretamente em certificados de operações estruturadas (COE)</w:t>
      </w:r>
      <w:r w:rsidR="00FE044C" w:rsidRPr="00C02E24">
        <w:rPr>
          <w:rFonts w:ascii="Tahoma" w:hAnsi="Tahoma" w:cs="Tahoma"/>
          <w:sz w:val="20"/>
          <w:szCs w:val="22"/>
        </w:rPr>
        <w:t>;</w:t>
      </w:r>
    </w:p>
    <w:p w:rsidR="00FE044C" w:rsidRPr="00C02E24" w:rsidRDefault="00FE044C" w:rsidP="00AD12FB">
      <w:pPr>
        <w:pStyle w:val="Default"/>
        <w:numPr>
          <w:ilvl w:val="0"/>
          <w:numId w:val="1"/>
        </w:numPr>
        <w:spacing w:after="120"/>
        <w:ind w:firstLine="709"/>
        <w:jc w:val="both"/>
        <w:rPr>
          <w:rFonts w:ascii="Tahoma" w:hAnsi="Tahoma" w:cs="Tahoma"/>
          <w:sz w:val="20"/>
          <w:szCs w:val="22"/>
        </w:rPr>
      </w:pPr>
      <w:r w:rsidRPr="00C02E24">
        <w:rPr>
          <w:rFonts w:ascii="Tahoma" w:hAnsi="Tahoma" w:cs="Tahoma"/>
          <w:sz w:val="20"/>
          <w:szCs w:val="22"/>
        </w:rPr>
        <w:t>Aplicar em ativos que não possuam participante</w:t>
      </w:r>
      <w:r w:rsidR="002104B1" w:rsidRPr="00C02E24">
        <w:rPr>
          <w:rFonts w:ascii="Tahoma" w:hAnsi="Tahoma" w:cs="Tahoma"/>
          <w:sz w:val="20"/>
          <w:szCs w:val="22"/>
        </w:rPr>
        <w:t>s</w:t>
      </w:r>
      <w:r w:rsidRPr="00C02E24">
        <w:rPr>
          <w:rFonts w:ascii="Tahoma" w:hAnsi="Tahoma" w:cs="Tahoma"/>
          <w:sz w:val="20"/>
          <w:szCs w:val="22"/>
        </w:rPr>
        <w:t xml:space="preserve"> elencados na Lista Exaustiva, disponibilizada pel</w:t>
      </w:r>
      <w:r w:rsidR="002104B1" w:rsidRPr="00C02E24">
        <w:rPr>
          <w:rFonts w:ascii="Tahoma" w:hAnsi="Tahoma" w:cs="Tahoma"/>
          <w:sz w:val="20"/>
          <w:szCs w:val="22"/>
        </w:rPr>
        <w:t>o</w:t>
      </w:r>
      <w:r w:rsidRPr="00C02E24">
        <w:rPr>
          <w:rFonts w:ascii="Tahoma" w:hAnsi="Tahoma" w:cs="Tahoma"/>
          <w:sz w:val="20"/>
          <w:szCs w:val="22"/>
        </w:rPr>
        <w:t xml:space="preserve"> </w:t>
      </w:r>
      <w:r w:rsidR="00611583" w:rsidRPr="00C02E24">
        <w:rPr>
          <w:rFonts w:ascii="Tahoma" w:hAnsi="Tahoma" w:cs="Tahoma"/>
          <w:sz w:val="20"/>
          <w:szCs w:val="22"/>
        </w:rPr>
        <w:t>MPS</w:t>
      </w:r>
      <w:r w:rsidRPr="00C02E24">
        <w:rPr>
          <w:rFonts w:ascii="Tahoma" w:hAnsi="Tahoma" w:cs="Tahoma"/>
          <w:sz w:val="20"/>
          <w:szCs w:val="22"/>
        </w:rPr>
        <w:t>.</w:t>
      </w:r>
    </w:p>
    <w:p w:rsidR="00465C63" w:rsidRPr="00E8601E" w:rsidRDefault="00465C63" w:rsidP="00AD12FB">
      <w:pPr>
        <w:spacing w:after="120"/>
        <w:ind w:firstLine="709"/>
        <w:rPr>
          <w:rFonts w:ascii="Tahoma" w:hAnsi="Tahoma" w:cs="Tahoma"/>
          <w:sz w:val="20"/>
        </w:rPr>
      </w:pPr>
      <w:r w:rsidRPr="00E8601E">
        <w:rPr>
          <w:rFonts w:ascii="Tahoma" w:hAnsi="Tahoma" w:cs="Tahoma"/>
          <w:sz w:val="20"/>
        </w:rPr>
        <w:br w:type="page"/>
      </w:r>
    </w:p>
    <w:bookmarkStart w:id="46" w:name="_Toc181778189"/>
    <w:p w:rsidR="00465C63" w:rsidRPr="00E8601E" w:rsidRDefault="00EC5FD6" w:rsidP="00EC5FD6">
      <w:pPr>
        <w:pStyle w:val="Ttulo1"/>
        <w:rPr>
          <w:sz w:val="22"/>
        </w:rPr>
      </w:pPr>
      <w:r w:rsidRPr="00E4782B">
        <w:object w:dxaOrig="2425" w:dyaOrig="2598">
          <v:shape id="_x0000_i1075" type="#_x0000_t75" style="width:9.4pt;height:8.15pt" o:ole="">
            <v:imagedata r:id="rId8" o:title=""/>
          </v:shape>
          <o:OLEObject Type="Embed" ProgID="CorelDRAW.Graphic.13" ShapeID="_x0000_i1075" DrawAspect="Content" ObjectID="_1792498611" r:id="rId74"/>
        </w:object>
      </w:r>
      <w:r w:rsidR="00465C63" w:rsidRPr="00E8601E">
        <w:rPr>
          <w:sz w:val="22"/>
        </w:rPr>
        <w:t>DISPOSIÇÕES GERAIS</w:t>
      </w:r>
      <w:bookmarkEnd w:id="46"/>
      <w:r w:rsidR="00465C63" w:rsidRPr="00E8601E">
        <w:rPr>
          <w:sz w:val="22"/>
        </w:rPr>
        <w:object w:dxaOrig="3163" w:dyaOrig="3187">
          <v:shape id="_x0000_i1076" type="#_x0000_t75" style="width:21.9pt;height:23.15pt" o:ole="">
            <v:imagedata r:id="rId10" o:title=""/>
          </v:shape>
          <o:OLEObject Type="Embed" ProgID="CorelDRAW.Graphic.13" ShapeID="_x0000_i1076" DrawAspect="Content" ObjectID="_1792498612" r:id="rId75"/>
        </w:object>
      </w:r>
    </w:p>
    <w:p w:rsidR="00465C63" w:rsidRPr="00E8601E" w:rsidRDefault="00465C63" w:rsidP="00AD12FB">
      <w:pPr>
        <w:spacing w:after="120"/>
        <w:ind w:firstLine="709"/>
        <w:rPr>
          <w:rFonts w:ascii="Tahoma" w:hAnsi="Tahoma" w:cs="Tahoma"/>
          <w:sz w:val="20"/>
        </w:rPr>
      </w:pPr>
    </w:p>
    <w:p w:rsidR="00465C63" w:rsidRPr="007E77FF" w:rsidRDefault="00465C63" w:rsidP="00AD12FB">
      <w:pPr>
        <w:spacing w:after="120"/>
        <w:ind w:firstLine="709"/>
        <w:jc w:val="both"/>
        <w:rPr>
          <w:rFonts w:ascii="Tahoma" w:hAnsi="Tahoma" w:cs="Tahoma"/>
          <w:sz w:val="20"/>
        </w:rPr>
      </w:pPr>
      <w:r w:rsidRPr="00E8601E">
        <w:rPr>
          <w:rFonts w:ascii="Tahoma" w:hAnsi="Tahoma" w:cs="Tahoma"/>
          <w:sz w:val="20"/>
        </w:rPr>
        <w:t xml:space="preserve">A presente </w:t>
      </w:r>
      <w:r w:rsidR="007A0B11">
        <w:rPr>
          <w:rFonts w:ascii="Tahoma" w:hAnsi="Tahoma" w:cs="Tahoma"/>
          <w:sz w:val="20"/>
        </w:rPr>
        <w:t xml:space="preserve">Política de </w:t>
      </w:r>
      <w:r w:rsidR="007A0B11" w:rsidRPr="007E77FF">
        <w:rPr>
          <w:rFonts w:ascii="Tahoma" w:hAnsi="Tahoma" w:cs="Tahoma"/>
          <w:sz w:val="20"/>
        </w:rPr>
        <w:t>Investimentos</w:t>
      </w:r>
      <w:r w:rsidRPr="007E77FF">
        <w:rPr>
          <w:rFonts w:ascii="Tahoma" w:hAnsi="Tahoma" w:cs="Tahoma"/>
          <w:sz w:val="20"/>
        </w:rPr>
        <w:t xml:space="preserve"> está baseada nas avaliações do cenário econômico para o ano de 202</w:t>
      </w:r>
      <w:r w:rsidR="00E16EDA" w:rsidRPr="007E77FF">
        <w:rPr>
          <w:rFonts w:ascii="Tahoma" w:hAnsi="Tahoma" w:cs="Tahoma"/>
          <w:sz w:val="20"/>
        </w:rPr>
        <w:t>5</w:t>
      </w:r>
      <w:r w:rsidRPr="007E77FF">
        <w:rPr>
          <w:rFonts w:ascii="Tahoma" w:hAnsi="Tahoma" w:cs="Tahoma"/>
          <w:sz w:val="20"/>
        </w:rPr>
        <w:t xml:space="preserve">, tendo utilizado, para tanto, dados e cenários constantes do Relatório de Inflação, publicação do Comitê de Política Econômica – COPOM e o Relatório de Mercado </w:t>
      </w:r>
      <w:r w:rsidR="002104B1" w:rsidRPr="007E77FF">
        <w:rPr>
          <w:rFonts w:ascii="Tahoma" w:hAnsi="Tahoma" w:cs="Tahoma"/>
          <w:sz w:val="20"/>
        </w:rPr>
        <w:t>–</w:t>
      </w:r>
      <w:r w:rsidRPr="007E77FF">
        <w:rPr>
          <w:rFonts w:ascii="Tahoma" w:hAnsi="Tahoma" w:cs="Tahoma"/>
          <w:sz w:val="20"/>
        </w:rPr>
        <w:t xml:space="preserve"> FOCUS</w:t>
      </w:r>
      <w:r w:rsidR="002104B1" w:rsidRPr="007E77FF">
        <w:rPr>
          <w:rFonts w:ascii="Tahoma" w:hAnsi="Tahoma" w:cs="Tahoma"/>
          <w:sz w:val="20"/>
        </w:rPr>
        <w:t>.</w:t>
      </w:r>
      <w:r w:rsidRPr="007E77FF">
        <w:rPr>
          <w:rFonts w:ascii="Tahoma" w:hAnsi="Tahoma" w:cs="Tahoma"/>
          <w:sz w:val="20"/>
        </w:rPr>
        <w:t xml:space="preserve"> O Boletim Focus é um informe que relata as projeções do mercado com base em consulta a aproximadamente 100 (cem) instituições financeiras, e é divulgado semanalmente.</w:t>
      </w:r>
    </w:p>
    <w:p w:rsidR="00465C63" w:rsidRPr="00C02E24" w:rsidRDefault="00465C63" w:rsidP="00AD12FB">
      <w:pPr>
        <w:spacing w:after="120"/>
        <w:ind w:firstLine="709"/>
        <w:jc w:val="both"/>
        <w:rPr>
          <w:rFonts w:ascii="Tahoma" w:hAnsi="Tahoma" w:cs="Tahoma"/>
          <w:sz w:val="20"/>
        </w:rPr>
      </w:pPr>
      <w:r w:rsidRPr="007E77FF">
        <w:rPr>
          <w:rFonts w:ascii="Tahoma" w:hAnsi="Tahoma" w:cs="Tahoma"/>
          <w:sz w:val="20"/>
        </w:rPr>
        <w:t xml:space="preserve">As disposições gerais </w:t>
      </w:r>
      <w:r w:rsidR="005D3A43">
        <w:rPr>
          <w:rFonts w:ascii="Tahoma" w:hAnsi="Tahoma" w:cs="Tahoma"/>
          <w:sz w:val="20"/>
        </w:rPr>
        <w:t>contemplam</w:t>
      </w:r>
      <w:r w:rsidRPr="007E77FF">
        <w:rPr>
          <w:rFonts w:ascii="Tahoma" w:hAnsi="Tahoma" w:cs="Tahoma"/>
          <w:sz w:val="20"/>
        </w:rPr>
        <w:t xml:space="preserve"> os quesitos para o encerramento</w:t>
      </w:r>
      <w:r w:rsidRPr="00E8601E">
        <w:rPr>
          <w:rFonts w:ascii="Tahoma" w:hAnsi="Tahoma" w:cs="Tahoma"/>
          <w:sz w:val="20"/>
        </w:rPr>
        <w:t xml:space="preserve"> da </w:t>
      </w:r>
      <w:r w:rsidR="007A0B11">
        <w:rPr>
          <w:rFonts w:ascii="Tahoma" w:hAnsi="Tahoma" w:cs="Tahoma"/>
          <w:sz w:val="20"/>
        </w:rPr>
        <w:t>Política de Investimentos</w:t>
      </w:r>
      <w:r w:rsidRPr="00E8601E">
        <w:rPr>
          <w:rFonts w:ascii="Tahoma" w:hAnsi="Tahoma" w:cs="Tahoma"/>
          <w:sz w:val="20"/>
        </w:rPr>
        <w:t xml:space="preserve">. Destaca-se que esta política anual de investimentos dos recursos do </w:t>
      </w:r>
      <w:r w:rsidR="00F53C5D">
        <w:rPr>
          <w:rFonts w:ascii="Tahoma" w:hAnsi="Tahoma" w:cs="Tahoma"/>
          <w:sz w:val="20"/>
        </w:rPr>
        <w:t>Regime Próprio de Previdência Social</w:t>
      </w:r>
      <w:r w:rsidRPr="00344EA0">
        <w:rPr>
          <w:rFonts w:ascii="Tahoma" w:hAnsi="Tahoma" w:cs="Tahoma"/>
          <w:sz w:val="20"/>
        </w:rPr>
        <w:t xml:space="preserve"> do </w:t>
      </w:r>
      <w:r w:rsidR="008F04AC">
        <w:rPr>
          <w:rFonts w:ascii="Tahoma" w:hAnsi="Tahoma" w:cs="Tahoma"/>
          <w:b/>
          <w:noProof/>
          <w:sz w:val="20"/>
        </w:rPr>
        <w:fldChar w:fldCharType="begin"/>
      </w:r>
      <w:r w:rsidR="002D02EA">
        <w:rPr>
          <w:rFonts w:ascii="Tahoma" w:hAnsi="Tahoma" w:cs="Tahoma"/>
          <w:b/>
          <w:noProof/>
          <w:sz w:val="20"/>
        </w:rPr>
        <w:instrText xml:space="preserve"> MERGEFIELD RPPS </w:instrText>
      </w:r>
      <w:r w:rsidR="008F04AC">
        <w:rPr>
          <w:rFonts w:ascii="Tahoma" w:hAnsi="Tahoma" w:cs="Tahoma"/>
          <w:b/>
          <w:noProof/>
          <w:sz w:val="20"/>
        </w:rPr>
        <w:fldChar w:fldCharType="separate"/>
      </w:r>
      <w:r w:rsidR="004A232E" w:rsidRPr="00BC514D">
        <w:rPr>
          <w:rFonts w:ascii="Tahoma" w:hAnsi="Tahoma" w:cs="Tahoma"/>
          <w:b/>
          <w:noProof/>
          <w:sz w:val="20"/>
        </w:rPr>
        <w:t>MUNICÍPIO DE ENTRE-IJUÍS</w:t>
      </w:r>
      <w:r w:rsidR="008F04AC">
        <w:rPr>
          <w:rFonts w:ascii="Tahoma" w:hAnsi="Tahoma" w:cs="Tahoma"/>
          <w:b/>
          <w:noProof/>
          <w:sz w:val="20"/>
        </w:rPr>
        <w:fldChar w:fldCharType="end"/>
      </w:r>
      <w:r w:rsidRPr="00903574">
        <w:rPr>
          <w:rFonts w:ascii="Tahoma" w:hAnsi="Tahoma" w:cs="Tahoma"/>
          <w:b/>
          <w:sz w:val="20"/>
        </w:rPr>
        <w:t xml:space="preserve"> </w:t>
      </w:r>
      <w:r w:rsidRPr="00344EA0">
        <w:rPr>
          <w:rFonts w:ascii="Tahoma" w:hAnsi="Tahoma" w:cs="Tahoma"/>
          <w:sz w:val="20"/>
        </w:rPr>
        <w:t xml:space="preserve">e suas revisões deverão ser aprovadas pelo órgão superior competente, antes da sua </w:t>
      </w:r>
      <w:r w:rsidRPr="00C02E24">
        <w:rPr>
          <w:rFonts w:ascii="Tahoma" w:hAnsi="Tahoma" w:cs="Tahoma"/>
          <w:sz w:val="20"/>
        </w:rPr>
        <w:t xml:space="preserve">implementação. Justificadamente, a política anual de investimentos poderá ser revista no curso de sua execução, com vistas à adequação ao mercado ou </w:t>
      </w:r>
      <w:r w:rsidR="00876A03" w:rsidRPr="00C02E24">
        <w:rPr>
          <w:rFonts w:ascii="Tahoma" w:hAnsi="Tahoma" w:cs="Tahoma"/>
          <w:sz w:val="20"/>
        </w:rPr>
        <w:t>a</w:t>
      </w:r>
      <w:r w:rsidRPr="00C02E24">
        <w:rPr>
          <w:rFonts w:ascii="Tahoma" w:hAnsi="Tahoma" w:cs="Tahoma"/>
          <w:sz w:val="20"/>
        </w:rPr>
        <w:t xml:space="preserve"> nova legislação, conforme prevê a Resolução CMN</w:t>
      </w:r>
      <w:r w:rsidR="002104B1" w:rsidRPr="00C02E24">
        <w:rPr>
          <w:rFonts w:ascii="Tahoma" w:hAnsi="Tahoma" w:cs="Tahoma"/>
          <w:sz w:val="20"/>
        </w:rPr>
        <w:t xml:space="preserve"> nº</w:t>
      </w:r>
      <w:r w:rsidRPr="00C02E24">
        <w:rPr>
          <w:rFonts w:ascii="Tahoma" w:hAnsi="Tahoma" w:cs="Tahoma"/>
          <w:sz w:val="20"/>
        </w:rPr>
        <w:t xml:space="preserve"> </w:t>
      </w:r>
      <w:r w:rsidR="00236C13" w:rsidRPr="00C02E24">
        <w:rPr>
          <w:rFonts w:ascii="Tahoma" w:hAnsi="Tahoma" w:cs="Tahoma"/>
          <w:sz w:val="20"/>
        </w:rPr>
        <w:t>4.963</w:t>
      </w:r>
      <w:r w:rsidRPr="00C02E24">
        <w:rPr>
          <w:rFonts w:ascii="Tahoma" w:hAnsi="Tahoma" w:cs="Tahoma"/>
          <w:sz w:val="20"/>
        </w:rPr>
        <w:t>/</w:t>
      </w:r>
      <w:r w:rsidR="00236C13" w:rsidRPr="00C02E24">
        <w:rPr>
          <w:rFonts w:ascii="Tahoma" w:hAnsi="Tahoma" w:cs="Tahoma"/>
          <w:sz w:val="20"/>
        </w:rPr>
        <w:t>2021</w:t>
      </w:r>
      <w:r w:rsidRPr="00C02E24">
        <w:rPr>
          <w:rFonts w:ascii="Tahoma" w:hAnsi="Tahoma" w:cs="Tahoma"/>
          <w:sz w:val="20"/>
        </w:rPr>
        <w:t>.</w:t>
      </w:r>
    </w:p>
    <w:p w:rsidR="00465C63" w:rsidRPr="00E8601E" w:rsidRDefault="00465C63" w:rsidP="00AD12FB">
      <w:pPr>
        <w:spacing w:after="120"/>
        <w:ind w:firstLine="709"/>
        <w:jc w:val="both"/>
        <w:rPr>
          <w:rFonts w:ascii="Tahoma" w:hAnsi="Tahoma" w:cs="Tahoma"/>
          <w:sz w:val="20"/>
        </w:rPr>
      </w:pPr>
      <w:r w:rsidRPr="00C02E24">
        <w:rPr>
          <w:rFonts w:ascii="Tahoma" w:hAnsi="Tahoma" w:cs="Tahoma"/>
          <w:sz w:val="20"/>
        </w:rPr>
        <w:t xml:space="preserve">Além disso, o </w:t>
      </w:r>
      <w:r w:rsidR="008F04AC" w:rsidRPr="00C02E24">
        <w:rPr>
          <w:rFonts w:ascii="Tahoma" w:hAnsi="Tahoma" w:cs="Tahoma"/>
          <w:b/>
          <w:noProof/>
          <w:sz w:val="20"/>
        </w:rPr>
        <w:fldChar w:fldCharType="begin"/>
      </w:r>
      <w:r w:rsidR="002D02EA" w:rsidRPr="00C02E24">
        <w:rPr>
          <w:rFonts w:ascii="Tahoma" w:hAnsi="Tahoma" w:cs="Tahoma"/>
          <w:b/>
          <w:noProof/>
          <w:sz w:val="20"/>
        </w:rPr>
        <w:instrText xml:space="preserve"> MERGEFIELD TP </w:instrText>
      </w:r>
      <w:r w:rsidR="008F04AC" w:rsidRPr="00C02E24">
        <w:rPr>
          <w:rFonts w:ascii="Tahoma" w:hAnsi="Tahoma" w:cs="Tahoma"/>
          <w:b/>
          <w:noProof/>
          <w:sz w:val="20"/>
        </w:rPr>
        <w:fldChar w:fldCharType="separate"/>
      </w:r>
      <w:r w:rsidR="004A232E" w:rsidRPr="00BC514D">
        <w:rPr>
          <w:rFonts w:ascii="Tahoma" w:hAnsi="Tahoma" w:cs="Tahoma"/>
          <w:b/>
          <w:noProof/>
          <w:sz w:val="20"/>
        </w:rPr>
        <w:t>RPPS</w:t>
      </w:r>
      <w:r w:rsidR="008F04AC" w:rsidRPr="00C02E24">
        <w:rPr>
          <w:rFonts w:ascii="Tahoma" w:hAnsi="Tahoma" w:cs="Tahoma"/>
          <w:b/>
          <w:noProof/>
          <w:sz w:val="20"/>
        </w:rPr>
        <w:fldChar w:fldCharType="end"/>
      </w:r>
      <w:r w:rsidRPr="00C02E24">
        <w:rPr>
          <w:rFonts w:ascii="Tahoma" w:hAnsi="Tahoma" w:cs="Tahoma"/>
          <w:sz w:val="20"/>
        </w:rPr>
        <w:t xml:space="preserve"> deverá comprovar junto </w:t>
      </w:r>
      <w:r w:rsidR="00913E65" w:rsidRPr="00C02E24">
        <w:rPr>
          <w:rFonts w:ascii="Tahoma" w:hAnsi="Tahoma" w:cs="Tahoma"/>
          <w:sz w:val="20"/>
        </w:rPr>
        <w:t>ao MPS</w:t>
      </w:r>
      <w:r w:rsidRPr="00C02E24">
        <w:rPr>
          <w:rFonts w:ascii="Tahoma" w:hAnsi="Tahoma" w:cs="Tahoma"/>
          <w:sz w:val="20"/>
        </w:rPr>
        <w:t xml:space="preserve"> que o responsável pela gestão dos seus recursos, pessoa física vinculada ao ente federativo ou </w:t>
      </w:r>
      <w:r w:rsidR="00A4368B" w:rsidRPr="00C02E24">
        <w:rPr>
          <w:rFonts w:ascii="Tahoma" w:hAnsi="Tahoma" w:cs="Tahoma"/>
          <w:sz w:val="20"/>
        </w:rPr>
        <w:t>a</w:t>
      </w:r>
      <w:r w:rsidRPr="00C02E24">
        <w:rPr>
          <w:rFonts w:ascii="Tahoma" w:hAnsi="Tahoma" w:cs="Tahoma"/>
          <w:sz w:val="20"/>
        </w:rPr>
        <w:t xml:space="preserve"> unidade gestora do regime como servidor titular de cargo efetivo ou de livre nomeação e exoneração, designado para a função por ato da autoridade competente, tenha sido aprovado em exame de certificação organizado por entidade autônoma de reconhecida capacidade técnica e difusão no mercado brasileiro de capitais. Esta comprovação ocorrerá mediante o preenchimento dos campos específicos constantes de demonstrativo sintético. A validade e autenticidade da certificação informada serão verificadas junto à entidade certificadora pelos meios por ela disponibilizados</w:t>
      </w:r>
      <w:r w:rsidRPr="00E8601E">
        <w:rPr>
          <w:rFonts w:ascii="Tahoma" w:hAnsi="Tahoma" w:cs="Tahoma"/>
          <w:sz w:val="20"/>
        </w:rPr>
        <w:t>.</w:t>
      </w:r>
    </w:p>
    <w:p w:rsidR="00465C63" w:rsidRPr="00C02E24" w:rsidRDefault="00465C63" w:rsidP="00AD12FB">
      <w:pPr>
        <w:spacing w:after="120"/>
        <w:ind w:firstLine="709"/>
        <w:jc w:val="both"/>
        <w:rPr>
          <w:rFonts w:ascii="Tahoma" w:hAnsi="Tahoma" w:cs="Tahoma"/>
          <w:sz w:val="20"/>
        </w:rPr>
      </w:pPr>
      <w:r w:rsidRPr="00C02E24">
        <w:rPr>
          <w:rFonts w:ascii="Tahoma" w:hAnsi="Tahoma" w:cs="Tahoma"/>
          <w:sz w:val="20"/>
        </w:rPr>
        <w:t xml:space="preserve">Reuniões extraordinárias junto ao Comitê gestor de investimento do RPPS serão realizadas sempre que houver necessidade de ajustes nesta </w:t>
      </w:r>
      <w:r w:rsidR="007A0B11" w:rsidRPr="00C02E24">
        <w:rPr>
          <w:rFonts w:ascii="Tahoma" w:hAnsi="Tahoma" w:cs="Tahoma"/>
          <w:sz w:val="20"/>
        </w:rPr>
        <w:t>Política de Investimentos</w:t>
      </w:r>
      <w:r w:rsidRPr="00C02E24">
        <w:rPr>
          <w:rFonts w:ascii="Tahoma" w:hAnsi="Tahoma" w:cs="Tahoma"/>
          <w:sz w:val="20"/>
        </w:rPr>
        <w:t xml:space="preserve"> perante o comportamento/conjuntura do mercado, quando se apresentar o interesse da preservação dos ativos financeiros e/ou com vistas à adequação </w:t>
      </w:r>
      <w:r w:rsidR="00876A03" w:rsidRPr="00C02E24">
        <w:rPr>
          <w:rFonts w:ascii="Tahoma" w:hAnsi="Tahoma" w:cs="Tahoma"/>
          <w:sz w:val="20"/>
        </w:rPr>
        <w:t>a</w:t>
      </w:r>
      <w:r w:rsidRPr="00C02E24">
        <w:rPr>
          <w:rFonts w:ascii="Tahoma" w:hAnsi="Tahoma" w:cs="Tahoma"/>
          <w:sz w:val="20"/>
        </w:rPr>
        <w:t xml:space="preserve"> nova legislação.</w:t>
      </w:r>
    </w:p>
    <w:p w:rsidR="00465C63" w:rsidRPr="00766F17" w:rsidRDefault="00465C63" w:rsidP="00AD12FB">
      <w:pPr>
        <w:spacing w:after="120"/>
        <w:ind w:firstLine="709"/>
        <w:jc w:val="both"/>
        <w:rPr>
          <w:rFonts w:ascii="Tahoma" w:hAnsi="Tahoma" w:cs="Tahoma"/>
          <w:sz w:val="20"/>
        </w:rPr>
      </w:pPr>
      <w:r w:rsidRPr="00B46C29">
        <w:rPr>
          <w:rFonts w:ascii="Tahoma" w:hAnsi="Tahoma" w:cs="Tahoma"/>
          <w:sz w:val="20"/>
        </w:rPr>
        <w:t xml:space="preserve">Os responsáveis pelo acompanhamento e operacionalização dos investimentos do </w:t>
      </w:r>
      <w:r w:rsidR="008F04AC" w:rsidRPr="00B46C29">
        <w:rPr>
          <w:rFonts w:ascii="Tahoma" w:hAnsi="Tahoma" w:cs="Tahoma"/>
          <w:b/>
          <w:bCs/>
          <w:sz w:val="20"/>
        </w:rPr>
        <w:fldChar w:fldCharType="begin"/>
      </w:r>
      <w:r w:rsidR="00A17DB5" w:rsidRPr="00B46C29">
        <w:rPr>
          <w:rFonts w:ascii="Tahoma" w:hAnsi="Tahoma" w:cs="Tahoma"/>
          <w:b/>
          <w:bCs/>
          <w:sz w:val="20"/>
        </w:rPr>
        <w:instrText xml:space="preserve"> MERGEFIELD TP </w:instrText>
      </w:r>
      <w:r w:rsidR="008F04AC" w:rsidRPr="00B46C29">
        <w:rPr>
          <w:rFonts w:ascii="Tahoma" w:hAnsi="Tahoma" w:cs="Tahoma"/>
          <w:b/>
          <w:bCs/>
          <w:sz w:val="20"/>
        </w:rPr>
        <w:fldChar w:fldCharType="separate"/>
      </w:r>
      <w:r w:rsidR="004A232E" w:rsidRPr="00BC514D">
        <w:rPr>
          <w:rFonts w:ascii="Tahoma" w:hAnsi="Tahoma" w:cs="Tahoma"/>
          <w:b/>
          <w:bCs/>
          <w:noProof/>
          <w:sz w:val="20"/>
        </w:rPr>
        <w:t>RPPS</w:t>
      </w:r>
      <w:r w:rsidR="008F04AC" w:rsidRPr="00B46C29">
        <w:rPr>
          <w:rFonts w:ascii="Tahoma" w:hAnsi="Tahoma" w:cs="Tahoma"/>
          <w:b/>
          <w:bCs/>
          <w:sz w:val="20"/>
        </w:rPr>
        <w:fldChar w:fldCharType="end"/>
      </w:r>
      <w:r w:rsidRPr="00B46C29">
        <w:rPr>
          <w:rFonts w:ascii="Tahoma" w:hAnsi="Tahoma" w:cs="Tahoma"/>
          <w:sz w:val="20"/>
        </w:rPr>
        <w:t xml:space="preserve"> (</w:t>
      </w:r>
      <w:r w:rsidR="008F04AC" w:rsidRPr="00B46C29">
        <w:rPr>
          <w:rFonts w:ascii="Tahoma" w:hAnsi="Tahoma" w:cs="Tahoma"/>
          <w:sz w:val="20"/>
        </w:rPr>
        <w:fldChar w:fldCharType="begin"/>
      </w:r>
      <w:r w:rsidR="00A17DB5" w:rsidRPr="00B46C29">
        <w:rPr>
          <w:rFonts w:ascii="Tahoma" w:hAnsi="Tahoma" w:cs="Tahoma"/>
          <w:sz w:val="20"/>
        </w:rPr>
        <w:instrText xml:space="preserve"> MERGEFIELD COMITÊ </w:instrText>
      </w:r>
      <w:r w:rsidR="008F04AC" w:rsidRPr="00B46C29">
        <w:rPr>
          <w:rFonts w:ascii="Tahoma" w:hAnsi="Tahoma" w:cs="Tahoma"/>
          <w:sz w:val="20"/>
        </w:rPr>
        <w:fldChar w:fldCharType="separate"/>
      </w:r>
      <w:r w:rsidR="004A232E" w:rsidRPr="00BC514D">
        <w:rPr>
          <w:rFonts w:ascii="Tahoma" w:hAnsi="Tahoma" w:cs="Tahoma"/>
          <w:noProof/>
          <w:sz w:val="20"/>
        </w:rPr>
        <w:t>COMITÊ DE INVESTIMENTOS</w:t>
      </w:r>
      <w:r w:rsidR="008F04AC" w:rsidRPr="00B46C29">
        <w:rPr>
          <w:rFonts w:ascii="Tahoma" w:hAnsi="Tahoma" w:cs="Tahoma"/>
          <w:sz w:val="20"/>
        </w:rPr>
        <w:fldChar w:fldCharType="end"/>
      </w:r>
      <w:r w:rsidRPr="00B46C29">
        <w:rPr>
          <w:rFonts w:ascii="Tahoma" w:hAnsi="Tahoma" w:cs="Tahoma"/>
          <w:sz w:val="20"/>
        </w:rPr>
        <w:t xml:space="preserve">) </w:t>
      </w:r>
      <w:r w:rsidRPr="00B46C29">
        <w:rPr>
          <w:rFonts w:ascii="Tahoma" w:hAnsi="Tahoma" w:cs="Tahoma"/>
          <w:b/>
          <w:bCs/>
          <w:sz w:val="20"/>
        </w:rPr>
        <w:t xml:space="preserve">deverão estar </w:t>
      </w:r>
      <w:r w:rsidR="00B46C29" w:rsidRPr="00B46C29">
        <w:rPr>
          <w:rFonts w:ascii="Tahoma" w:hAnsi="Tahoma" w:cs="Tahoma"/>
          <w:b/>
          <w:bCs/>
          <w:sz w:val="20"/>
        </w:rPr>
        <w:t xml:space="preserve">com </w:t>
      </w:r>
      <w:r w:rsidR="00766F17" w:rsidRPr="00B46C29">
        <w:rPr>
          <w:rFonts w:ascii="Tahoma" w:hAnsi="Tahoma" w:cs="Tahoma"/>
          <w:b/>
          <w:bCs/>
          <w:sz w:val="20"/>
        </w:rPr>
        <w:t>a MAIORIA dos titulares</w:t>
      </w:r>
      <w:r w:rsidR="00913E65" w:rsidRPr="00B46C29">
        <w:rPr>
          <w:rFonts w:ascii="Tahoma" w:hAnsi="Tahoma" w:cs="Tahoma"/>
          <w:b/>
          <w:bCs/>
          <w:sz w:val="20"/>
        </w:rPr>
        <w:t xml:space="preserve"> </w:t>
      </w:r>
      <w:r w:rsidRPr="00B46C29">
        <w:rPr>
          <w:rFonts w:ascii="Tahoma" w:hAnsi="Tahoma" w:cs="Tahoma"/>
          <w:b/>
          <w:bCs/>
          <w:sz w:val="20"/>
        </w:rPr>
        <w:t>certificados</w:t>
      </w:r>
      <w:r w:rsidRPr="00B46C29">
        <w:rPr>
          <w:rFonts w:ascii="Tahoma" w:hAnsi="Tahoma" w:cs="Tahoma"/>
          <w:sz w:val="20"/>
        </w:rPr>
        <w:t xml:space="preserve"> </w:t>
      </w:r>
      <w:r w:rsidR="00913E65" w:rsidRPr="00B46C29">
        <w:rPr>
          <w:rFonts w:ascii="Tahoma" w:hAnsi="Tahoma" w:cs="Tahoma"/>
          <w:sz w:val="20"/>
        </w:rPr>
        <w:t>em exame de certificação organizado por entidade autônoma de reconhecida capacidade técnica</w:t>
      </w:r>
      <w:r w:rsidR="005D3A43">
        <w:rPr>
          <w:rFonts w:ascii="Tahoma" w:hAnsi="Tahoma" w:cs="Tahoma"/>
          <w:sz w:val="20"/>
        </w:rPr>
        <w:t>,</w:t>
      </w:r>
      <w:r w:rsidR="00913E65" w:rsidRPr="00B46C29">
        <w:rPr>
          <w:rFonts w:ascii="Tahoma" w:hAnsi="Tahoma" w:cs="Tahoma"/>
          <w:sz w:val="20"/>
        </w:rPr>
        <w:t xml:space="preserve"> cujo conteúdo abrangerá, no mínimo, o contido na Portaria M</w:t>
      </w:r>
      <w:r w:rsidR="00766F17" w:rsidRPr="00B46C29">
        <w:rPr>
          <w:rFonts w:ascii="Tahoma" w:hAnsi="Tahoma" w:cs="Tahoma"/>
          <w:sz w:val="20"/>
        </w:rPr>
        <w:t>PS</w:t>
      </w:r>
      <w:r w:rsidR="002104B1" w:rsidRPr="00B46C29">
        <w:rPr>
          <w:rFonts w:ascii="Tahoma" w:hAnsi="Tahoma" w:cs="Tahoma"/>
          <w:sz w:val="20"/>
        </w:rPr>
        <w:t xml:space="preserve"> nº</w:t>
      </w:r>
      <w:r w:rsidR="00913E65" w:rsidRPr="00B46C29">
        <w:rPr>
          <w:rFonts w:ascii="Tahoma" w:hAnsi="Tahoma" w:cs="Tahoma"/>
          <w:sz w:val="20"/>
        </w:rPr>
        <w:t xml:space="preserve"> </w:t>
      </w:r>
      <w:r w:rsidR="007F6D14" w:rsidRPr="00B46C29">
        <w:rPr>
          <w:rFonts w:ascii="Tahoma" w:hAnsi="Tahoma" w:cs="Tahoma"/>
          <w:sz w:val="20"/>
        </w:rPr>
        <w:t>1.4</w:t>
      </w:r>
      <w:r w:rsidR="00766F17" w:rsidRPr="00B46C29">
        <w:rPr>
          <w:rFonts w:ascii="Tahoma" w:hAnsi="Tahoma" w:cs="Tahoma"/>
          <w:sz w:val="20"/>
        </w:rPr>
        <w:t>99</w:t>
      </w:r>
      <w:r w:rsidR="00913E65" w:rsidRPr="00B46C29">
        <w:rPr>
          <w:rFonts w:ascii="Tahoma" w:hAnsi="Tahoma" w:cs="Tahoma"/>
          <w:sz w:val="20"/>
        </w:rPr>
        <w:t>/202</w:t>
      </w:r>
      <w:r w:rsidR="00766F17" w:rsidRPr="00B46C29">
        <w:rPr>
          <w:rFonts w:ascii="Tahoma" w:hAnsi="Tahoma" w:cs="Tahoma"/>
          <w:sz w:val="20"/>
        </w:rPr>
        <w:t>4</w:t>
      </w:r>
      <w:r w:rsidR="00913E65" w:rsidRPr="00B46C29">
        <w:rPr>
          <w:rFonts w:ascii="Tahoma" w:hAnsi="Tahoma" w:cs="Tahoma"/>
          <w:sz w:val="20"/>
        </w:rPr>
        <w:t>, em relação ao Art. 8º-B, da Lei nº 9.717, de 1998</w:t>
      </w:r>
      <w:r w:rsidRPr="00B46C29">
        <w:rPr>
          <w:rFonts w:ascii="Tahoma" w:hAnsi="Tahoma" w:cs="Tahoma"/>
          <w:sz w:val="20"/>
        </w:rPr>
        <w:t>.</w:t>
      </w:r>
      <w:r w:rsidR="00766F17" w:rsidRPr="00B46C29">
        <w:rPr>
          <w:rFonts w:ascii="Tahoma" w:hAnsi="Tahoma" w:cs="Tahoma"/>
          <w:sz w:val="20"/>
        </w:rPr>
        <w:t xml:space="preserve"> Os conselhos deverão estar no mínimo</w:t>
      </w:r>
      <w:r w:rsidR="00B46C29" w:rsidRPr="00B46C29">
        <w:rPr>
          <w:rFonts w:ascii="Tahoma" w:hAnsi="Tahoma" w:cs="Tahoma"/>
          <w:sz w:val="20"/>
        </w:rPr>
        <w:t xml:space="preserve"> com</w:t>
      </w:r>
      <w:r w:rsidR="00766F17" w:rsidRPr="00B46C29">
        <w:rPr>
          <w:rFonts w:ascii="Tahoma" w:hAnsi="Tahoma" w:cs="Tahoma"/>
          <w:sz w:val="20"/>
        </w:rPr>
        <w:t xml:space="preserve"> 1/3 </w:t>
      </w:r>
      <w:r w:rsidR="00B46C29" w:rsidRPr="00B46C29">
        <w:rPr>
          <w:rFonts w:ascii="Tahoma" w:hAnsi="Tahoma" w:cs="Tahoma"/>
          <w:sz w:val="20"/>
        </w:rPr>
        <w:t xml:space="preserve">dos membros titulares </w:t>
      </w:r>
      <w:r w:rsidR="00766F17" w:rsidRPr="00B46C29">
        <w:rPr>
          <w:rFonts w:ascii="Tahoma" w:hAnsi="Tahoma" w:cs="Tahoma"/>
          <w:sz w:val="20"/>
        </w:rPr>
        <w:t>certificado</w:t>
      </w:r>
      <w:r w:rsidR="005D3A43">
        <w:rPr>
          <w:rFonts w:ascii="Tahoma" w:hAnsi="Tahoma" w:cs="Tahoma"/>
          <w:sz w:val="20"/>
        </w:rPr>
        <w:t>s</w:t>
      </w:r>
      <w:r w:rsidR="00766F17" w:rsidRPr="00B46C29">
        <w:rPr>
          <w:rFonts w:ascii="Tahoma" w:hAnsi="Tahoma" w:cs="Tahoma"/>
          <w:sz w:val="20"/>
        </w:rPr>
        <w:t>.</w:t>
      </w:r>
      <w:r w:rsidR="00766F17">
        <w:rPr>
          <w:rFonts w:ascii="Tahoma" w:hAnsi="Tahoma" w:cs="Tahoma"/>
          <w:sz w:val="20"/>
        </w:rPr>
        <w:t xml:space="preserve"> </w:t>
      </w:r>
    </w:p>
    <w:p w:rsidR="00503F0C" w:rsidRDefault="00503F0C" w:rsidP="00AD12FB">
      <w:pPr>
        <w:spacing w:after="120"/>
        <w:ind w:firstLine="709"/>
        <w:jc w:val="both"/>
        <w:rPr>
          <w:rFonts w:ascii="Tahoma" w:hAnsi="Tahoma" w:cs="Tahoma"/>
          <w:sz w:val="20"/>
        </w:rPr>
      </w:pPr>
      <w:r w:rsidRPr="00766F17">
        <w:rPr>
          <w:rFonts w:ascii="Tahoma" w:hAnsi="Tahoma" w:cs="Tahoma"/>
          <w:sz w:val="20"/>
        </w:rPr>
        <w:t>A documentação comprobatória desta política anual de investimentos deverá permanecer à disposição dos órgãos de supervisão competentes. Igualmente, estes respectivos documentos devem ser disponibilizados aos seus segurados e pensionistas juntamente com as respectivas revisões, no prazo de trinta dias, contados da data da sua aprovação conforme Art. 148 da Portaria MTP</w:t>
      </w:r>
      <w:r w:rsidR="002104B1" w:rsidRPr="00766F17">
        <w:rPr>
          <w:rFonts w:ascii="Tahoma" w:hAnsi="Tahoma" w:cs="Tahoma"/>
          <w:sz w:val="20"/>
        </w:rPr>
        <w:t xml:space="preserve"> nº</w:t>
      </w:r>
      <w:r w:rsidRPr="00766F17">
        <w:rPr>
          <w:rFonts w:ascii="Tahoma" w:hAnsi="Tahoma" w:cs="Tahoma"/>
          <w:sz w:val="20"/>
        </w:rPr>
        <w:t xml:space="preserve"> </w:t>
      </w:r>
      <w:r w:rsidR="007F6D14" w:rsidRPr="00766F17">
        <w:rPr>
          <w:rFonts w:ascii="Tahoma" w:hAnsi="Tahoma" w:cs="Tahoma"/>
          <w:sz w:val="20"/>
        </w:rPr>
        <w:t>1.467</w:t>
      </w:r>
      <w:r w:rsidR="002104B1" w:rsidRPr="00766F17">
        <w:rPr>
          <w:rFonts w:ascii="Tahoma" w:hAnsi="Tahoma" w:cs="Tahoma"/>
          <w:sz w:val="20"/>
        </w:rPr>
        <w:t>/2022</w:t>
      </w:r>
      <w:r w:rsidRPr="00766F17">
        <w:rPr>
          <w:rFonts w:ascii="Tahoma" w:hAnsi="Tahoma" w:cs="Tahoma"/>
          <w:sz w:val="20"/>
        </w:rPr>
        <w:t>.</w:t>
      </w:r>
    </w:p>
    <w:p w:rsidR="00503F0C" w:rsidRPr="00766F17" w:rsidRDefault="00503F0C" w:rsidP="00EC5FD6">
      <w:pPr>
        <w:spacing w:after="120"/>
        <w:jc w:val="both"/>
        <w:rPr>
          <w:rFonts w:ascii="Tahoma" w:hAnsi="Tahoma" w:cs="Tahoma"/>
          <w:b/>
          <w:bCs/>
          <w:sz w:val="20"/>
        </w:rPr>
      </w:pPr>
      <w:r w:rsidRPr="00766F17">
        <w:rPr>
          <w:rFonts w:ascii="Tahoma" w:hAnsi="Tahoma" w:cs="Tahoma"/>
          <w:b/>
          <w:bCs/>
          <w:sz w:val="20"/>
        </w:rPr>
        <w:t>Transparência</w:t>
      </w:r>
    </w:p>
    <w:p w:rsidR="00503F0C" w:rsidRPr="00766F17" w:rsidRDefault="00503F0C" w:rsidP="00AD12FB">
      <w:pPr>
        <w:spacing w:after="120"/>
        <w:ind w:firstLine="709"/>
        <w:jc w:val="both"/>
        <w:rPr>
          <w:rFonts w:ascii="Tahoma" w:hAnsi="Tahoma" w:cs="Tahoma"/>
          <w:sz w:val="20"/>
        </w:rPr>
      </w:pPr>
      <w:r w:rsidRPr="00766F17">
        <w:rPr>
          <w:rFonts w:ascii="Tahoma" w:hAnsi="Tahoma" w:cs="Tahoma"/>
          <w:sz w:val="20"/>
        </w:rPr>
        <w:t>A PI além de estabelecer as diretrizes para o processo de tomada de decisão, conforme Art. 148</w:t>
      </w:r>
      <w:r w:rsidR="002104B1" w:rsidRPr="00766F17">
        <w:rPr>
          <w:rFonts w:ascii="Tahoma" w:hAnsi="Tahoma" w:cs="Tahoma"/>
          <w:sz w:val="20"/>
        </w:rPr>
        <w:t>,</w:t>
      </w:r>
      <w:r w:rsidRPr="00766F17">
        <w:rPr>
          <w:rFonts w:ascii="Tahoma" w:hAnsi="Tahoma" w:cs="Tahoma"/>
          <w:sz w:val="20"/>
        </w:rPr>
        <w:t xml:space="preserve"> da Portaria </w:t>
      </w:r>
      <w:r w:rsidR="002104B1" w:rsidRPr="00766F17">
        <w:rPr>
          <w:rFonts w:ascii="Tahoma" w:hAnsi="Tahoma" w:cs="Tahoma"/>
          <w:sz w:val="20"/>
        </w:rPr>
        <w:t xml:space="preserve">MTP nº </w:t>
      </w:r>
      <w:r w:rsidRPr="00766F17">
        <w:rPr>
          <w:rFonts w:ascii="Tahoma" w:hAnsi="Tahoma" w:cs="Tahoma"/>
          <w:sz w:val="20"/>
        </w:rPr>
        <w:t>1.467</w:t>
      </w:r>
      <w:r w:rsidR="002104B1" w:rsidRPr="00766F17">
        <w:rPr>
          <w:rFonts w:ascii="Tahoma" w:hAnsi="Tahoma" w:cs="Tahoma"/>
          <w:sz w:val="20"/>
        </w:rPr>
        <w:t>/2022,</w:t>
      </w:r>
      <w:r w:rsidRPr="00766F17">
        <w:rPr>
          <w:rFonts w:ascii="Tahoma" w:hAnsi="Tahoma" w:cs="Tahoma"/>
          <w:sz w:val="20"/>
        </w:rPr>
        <w:t xml:space="preserve"> busca ainda ter transparência </w:t>
      </w:r>
      <w:r w:rsidR="002104B1" w:rsidRPr="00766F17">
        <w:rPr>
          <w:rFonts w:ascii="Tahoma" w:hAnsi="Tahoma" w:cs="Tahoma"/>
          <w:sz w:val="20"/>
        </w:rPr>
        <w:t>na</w:t>
      </w:r>
      <w:r w:rsidRPr="00766F17">
        <w:rPr>
          <w:rFonts w:ascii="Tahoma" w:hAnsi="Tahoma" w:cs="Tahoma"/>
          <w:sz w:val="20"/>
        </w:rPr>
        <w:t xml:space="preserve"> gestão de investimentos do RPPS.</w:t>
      </w:r>
    </w:p>
    <w:p w:rsidR="00503F0C" w:rsidRPr="00766F17" w:rsidRDefault="00503F0C" w:rsidP="00AD12FB">
      <w:pPr>
        <w:spacing w:after="120"/>
        <w:ind w:firstLine="709"/>
        <w:jc w:val="both"/>
        <w:rPr>
          <w:rFonts w:ascii="Tahoma" w:hAnsi="Tahoma" w:cs="Tahoma"/>
          <w:sz w:val="20"/>
          <w:szCs w:val="20"/>
        </w:rPr>
      </w:pPr>
      <w:r w:rsidRPr="00766F17">
        <w:rPr>
          <w:rFonts w:ascii="Tahoma" w:hAnsi="Tahoma" w:cs="Tahoma"/>
          <w:sz w:val="20"/>
          <w:szCs w:val="20"/>
        </w:rPr>
        <w:t>O Art. 148</w:t>
      </w:r>
      <w:r w:rsidR="002104B1" w:rsidRPr="00766F17">
        <w:rPr>
          <w:rFonts w:ascii="Tahoma" w:hAnsi="Tahoma" w:cs="Tahoma"/>
          <w:sz w:val="20"/>
        </w:rPr>
        <w:t>, da Portaria MTP nº 1.467/2022,</w:t>
      </w:r>
      <w:r w:rsidRPr="00766F17">
        <w:rPr>
          <w:rFonts w:ascii="Tahoma" w:hAnsi="Tahoma" w:cs="Tahoma"/>
          <w:sz w:val="20"/>
          <w:szCs w:val="20"/>
        </w:rPr>
        <w:t xml:space="preserve"> determina que o RPPS deverá disponibilizar aos segurados e beneficiários, no mínimo, os seguintes documentos e informações: </w:t>
      </w:r>
    </w:p>
    <w:p w:rsidR="00503F0C" w:rsidRPr="00503F0C" w:rsidRDefault="00503F0C" w:rsidP="00AD12FB">
      <w:pPr>
        <w:spacing w:after="120"/>
        <w:ind w:firstLine="709"/>
        <w:jc w:val="both"/>
        <w:rPr>
          <w:rFonts w:ascii="Tahoma" w:hAnsi="Tahoma" w:cs="Tahoma"/>
          <w:sz w:val="20"/>
          <w:szCs w:val="20"/>
        </w:rPr>
      </w:pPr>
      <w:r w:rsidRPr="00766F17">
        <w:rPr>
          <w:rFonts w:ascii="Tahoma" w:hAnsi="Tahoma" w:cs="Tahoma"/>
          <w:sz w:val="20"/>
          <w:szCs w:val="20"/>
        </w:rPr>
        <w:lastRenderedPageBreak/>
        <w:t xml:space="preserve">I - a </w:t>
      </w:r>
      <w:r w:rsidR="007A0B11" w:rsidRPr="00766F17">
        <w:rPr>
          <w:rFonts w:ascii="Tahoma" w:hAnsi="Tahoma" w:cs="Tahoma"/>
          <w:sz w:val="20"/>
          <w:szCs w:val="20"/>
        </w:rPr>
        <w:t>Política de Investimentos</w:t>
      </w:r>
      <w:r w:rsidRPr="00766F17">
        <w:rPr>
          <w:rFonts w:ascii="Tahoma" w:hAnsi="Tahoma" w:cs="Tahoma"/>
          <w:sz w:val="20"/>
          <w:szCs w:val="20"/>
        </w:rPr>
        <w:t>, suas revisões e alterações, no prazo de até 30 (trinta) dias, a partir da data de sua aprovação;</w:t>
      </w:r>
      <w:r w:rsidRPr="00503F0C">
        <w:rPr>
          <w:rFonts w:ascii="Tahoma" w:hAnsi="Tahoma" w:cs="Tahoma"/>
          <w:sz w:val="20"/>
          <w:szCs w:val="20"/>
        </w:rPr>
        <w:t xml:space="preserve"> </w:t>
      </w:r>
    </w:p>
    <w:p w:rsidR="00503F0C" w:rsidRPr="00766F17" w:rsidRDefault="00503F0C" w:rsidP="00AD12FB">
      <w:pPr>
        <w:spacing w:after="120"/>
        <w:ind w:firstLine="709"/>
        <w:jc w:val="both"/>
        <w:rPr>
          <w:rFonts w:ascii="Tahoma" w:hAnsi="Tahoma" w:cs="Tahoma"/>
          <w:sz w:val="20"/>
          <w:szCs w:val="20"/>
        </w:rPr>
      </w:pPr>
      <w:r w:rsidRPr="00503F0C">
        <w:rPr>
          <w:rFonts w:ascii="Tahoma" w:hAnsi="Tahoma" w:cs="Tahoma"/>
          <w:sz w:val="20"/>
          <w:szCs w:val="20"/>
        </w:rPr>
        <w:t xml:space="preserve">II - </w:t>
      </w:r>
      <w:r w:rsidRPr="00766F17">
        <w:rPr>
          <w:rFonts w:ascii="Tahoma" w:hAnsi="Tahoma" w:cs="Tahoma"/>
          <w:sz w:val="20"/>
          <w:szCs w:val="20"/>
        </w:rPr>
        <w:t xml:space="preserve">as informações contidas nos formulários APR, no prazo de até 30 (trinta) dias, contados da respectiva aplicação ou resgate; </w:t>
      </w:r>
    </w:p>
    <w:p w:rsidR="00503F0C" w:rsidRPr="00766F17" w:rsidRDefault="00503F0C" w:rsidP="00AD12FB">
      <w:pPr>
        <w:spacing w:after="120"/>
        <w:ind w:firstLine="709"/>
        <w:jc w:val="both"/>
        <w:rPr>
          <w:rFonts w:ascii="Tahoma" w:hAnsi="Tahoma" w:cs="Tahoma"/>
          <w:sz w:val="20"/>
          <w:szCs w:val="20"/>
        </w:rPr>
      </w:pPr>
      <w:r w:rsidRPr="00766F17">
        <w:rPr>
          <w:rFonts w:ascii="Tahoma" w:hAnsi="Tahoma" w:cs="Tahoma"/>
          <w:sz w:val="20"/>
          <w:szCs w:val="20"/>
        </w:rPr>
        <w:t xml:space="preserve">III - a composição da carteira de investimentos do RPPS, no prazo de até 30 (trinta) dias após o encerramento do mês; </w:t>
      </w:r>
    </w:p>
    <w:p w:rsidR="00503F0C" w:rsidRPr="00766F17" w:rsidRDefault="00503F0C" w:rsidP="00AD12FB">
      <w:pPr>
        <w:spacing w:after="120"/>
        <w:ind w:firstLine="709"/>
        <w:jc w:val="both"/>
        <w:rPr>
          <w:rFonts w:ascii="Tahoma" w:hAnsi="Tahoma" w:cs="Tahoma"/>
          <w:sz w:val="20"/>
          <w:szCs w:val="20"/>
        </w:rPr>
      </w:pPr>
      <w:r w:rsidRPr="00766F17">
        <w:rPr>
          <w:rFonts w:ascii="Tahoma" w:hAnsi="Tahoma" w:cs="Tahoma"/>
          <w:sz w:val="20"/>
          <w:szCs w:val="20"/>
        </w:rPr>
        <w:t xml:space="preserve">IV - os procedimentos de seleção das eventuais entidades autorizadas e credenciadas e de contratação de prestadores de serviços; </w:t>
      </w:r>
    </w:p>
    <w:p w:rsidR="00503F0C" w:rsidRPr="00766F17" w:rsidRDefault="00503F0C" w:rsidP="00AD12FB">
      <w:pPr>
        <w:spacing w:after="120"/>
        <w:ind w:firstLine="709"/>
        <w:jc w:val="both"/>
        <w:rPr>
          <w:rFonts w:ascii="Tahoma" w:hAnsi="Tahoma" w:cs="Tahoma"/>
          <w:sz w:val="20"/>
          <w:szCs w:val="20"/>
        </w:rPr>
      </w:pPr>
      <w:r w:rsidRPr="00766F17">
        <w:rPr>
          <w:rFonts w:ascii="Tahoma" w:hAnsi="Tahoma" w:cs="Tahoma"/>
          <w:sz w:val="20"/>
          <w:szCs w:val="20"/>
        </w:rPr>
        <w:t xml:space="preserve">V - as informações relativas ao processo de credenciamento de instituições para receber as aplicações dos recursos do RPPS; </w:t>
      </w:r>
    </w:p>
    <w:p w:rsidR="00503F0C" w:rsidRPr="00766F17" w:rsidRDefault="00503F0C" w:rsidP="00AD12FB">
      <w:pPr>
        <w:spacing w:after="120"/>
        <w:ind w:firstLine="709"/>
        <w:jc w:val="both"/>
        <w:rPr>
          <w:rFonts w:ascii="Tahoma" w:hAnsi="Tahoma" w:cs="Tahoma"/>
          <w:sz w:val="20"/>
          <w:szCs w:val="20"/>
        </w:rPr>
      </w:pPr>
      <w:r w:rsidRPr="00766F17">
        <w:rPr>
          <w:rFonts w:ascii="Tahoma" w:hAnsi="Tahoma" w:cs="Tahoma"/>
          <w:sz w:val="20"/>
          <w:szCs w:val="20"/>
        </w:rPr>
        <w:t xml:space="preserve">VI - a relação das entidades credenciadas para atuar com o RPPS e respectiva data de atualização do credenciamento. </w:t>
      </w:r>
    </w:p>
    <w:p w:rsidR="00503F0C" w:rsidRPr="00766F17" w:rsidRDefault="00503F0C" w:rsidP="00AD12FB">
      <w:pPr>
        <w:spacing w:after="120"/>
        <w:ind w:firstLine="709"/>
        <w:jc w:val="both"/>
        <w:rPr>
          <w:rFonts w:ascii="Tahoma" w:hAnsi="Tahoma" w:cs="Tahoma"/>
          <w:sz w:val="20"/>
        </w:rPr>
      </w:pPr>
    </w:p>
    <w:p w:rsidR="00AC1722" w:rsidRPr="00766F17" w:rsidRDefault="00AC1722" w:rsidP="00AD12FB">
      <w:pPr>
        <w:spacing w:after="120"/>
        <w:ind w:firstLine="709"/>
        <w:jc w:val="both"/>
        <w:rPr>
          <w:rFonts w:ascii="Tahoma" w:hAnsi="Tahoma" w:cs="Tahoma"/>
          <w:sz w:val="20"/>
        </w:rPr>
      </w:pPr>
      <w:r w:rsidRPr="00766F17">
        <w:rPr>
          <w:rFonts w:ascii="Tahoma" w:hAnsi="Tahoma" w:cs="Tahoma"/>
          <w:sz w:val="20"/>
        </w:rPr>
        <w:t xml:space="preserve">E, por fim, esta </w:t>
      </w:r>
      <w:r w:rsidR="007A0B11" w:rsidRPr="00766F17">
        <w:rPr>
          <w:rFonts w:ascii="Tahoma" w:hAnsi="Tahoma" w:cs="Tahoma"/>
          <w:sz w:val="20"/>
        </w:rPr>
        <w:t>Política de Investimentos</w:t>
      </w:r>
      <w:r w:rsidRPr="00766F17">
        <w:rPr>
          <w:rFonts w:ascii="Tahoma" w:hAnsi="Tahoma" w:cs="Tahoma"/>
          <w:sz w:val="20"/>
        </w:rPr>
        <w:t xml:space="preserve"> atende às normas a seguir:</w:t>
      </w:r>
    </w:p>
    <w:p w:rsidR="00AC1722" w:rsidRPr="00766F17" w:rsidRDefault="00AC1722" w:rsidP="00AD12FB">
      <w:pPr>
        <w:spacing w:after="120"/>
        <w:ind w:firstLine="709"/>
        <w:jc w:val="both"/>
        <w:rPr>
          <w:rFonts w:ascii="Tahoma" w:hAnsi="Tahoma" w:cs="Tahoma"/>
          <w:sz w:val="20"/>
        </w:rPr>
      </w:pPr>
      <w:r w:rsidRPr="00766F17">
        <w:rPr>
          <w:rFonts w:ascii="Tahoma" w:hAnsi="Tahoma" w:cs="Tahoma"/>
          <w:sz w:val="20"/>
        </w:rPr>
        <w:t>•</w:t>
      </w:r>
      <w:r w:rsidRPr="00766F17">
        <w:rPr>
          <w:rFonts w:ascii="Tahoma" w:hAnsi="Tahoma" w:cs="Tahoma"/>
          <w:sz w:val="20"/>
        </w:rPr>
        <w:tab/>
        <w:t xml:space="preserve">Resolução do Conselho Monetário Nacional </w:t>
      </w:r>
      <w:r w:rsidR="002104B1" w:rsidRPr="00766F17">
        <w:rPr>
          <w:rFonts w:ascii="Tahoma" w:hAnsi="Tahoma" w:cs="Tahoma"/>
          <w:sz w:val="20"/>
        </w:rPr>
        <w:t>n</w:t>
      </w:r>
      <w:r w:rsidRPr="00766F17">
        <w:rPr>
          <w:rFonts w:ascii="Tahoma" w:hAnsi="Tahoma" w:cs="Tahoma"/>
          <w:sz w:val="20"/>
        </w:rPr>
        <w:t>º</w:t>
      </w:r>
      <w:r w:rsidR="002104B1" w:rsidRPr="00766F17">
        <w:rPr>
          <w:rFonts w:ascii="Tahoma" w:hAnsi="Tahoma" w:cs="Tahoma"/>
          <w:sz w:val="20"/>
        </w:rPr>
        <w:t xml:space="preserve"> </w:t>
      </w:r>
      <w:r w:rsidRPr="00766F17">
        <w:rPr>
          <w:rFonts w:ascii="Tahoma" w:hAnsi="Tahoma" w:cs="Tahoma"/>
          <w:sz w:val="20"/>
        </w:rPr>
        <w:t>4.963/2021;</w:t>
      </w:r>
    </w:p>
    <w:p w:rsidR="00AC1722" w:rsidRPr="00766F17" w:rsidRDefault="00AC1722" w:rsidP="00AD12FB">
      <w:pPr>
        <w:spacing w:after="120"/>
        <w:ind w:firstLine="709"/>
        <w:jc w:val="both"/>
        <w:rPr>
          <w:rFonts w:ascii="Tahoma" w:hAnsi="Tahoma" w:cs="Tahoma"/>
          <w:sz w:val="20"/>
        </w:rPr>
      </w:pPr>
      <w:r w:rsidRPr="00766F17">
        <w:rPr>
          <w:rFonts w:ascii="Tahoma" w:hAnsi="Tahoma" w:cs="Tahoma"/>
          <w:sz w:val="20"/>
        </w:rPr>
        <w:t>•</w:t>
      </w:r>
      <w:r w:rsidRPr="00766F17">
        <w:rPr>
          <w:rFonts w:ascii="Tahoma" w:hAnsi="Tahoma" w:cs="Tahoma"/>
          <w:sz w:val="20"/>
        </w:rPr>
        <w:tab/>
        <w:t>Portaria MTP</w:t>
      </w:r>
      <w:r w:rsidR="002104B1" w:rsidRPr="00766F17">
        <w:rPr>
          <w:rFonts w:ascii="Tahoma" w:hAnsi="Tahoma" w:cs="Tahoma"/>
          <w:sz w:val="20"/>
        </w:rPr>
        <w:t xml:space="preserve"> nº</w:t>
      </w:r>
      <w:r w:rsidRPr="00766F17">
        <w:rPr>
          <w:rFonts w:ascii="Tahoma" w:hAnsi="Tahoma" w:cs="Tahoma"/>
          <w:sz w:val="20"/>
        </w:rPr>
        <w:t xml:space="preserve"> </w:t>
      </w:r>
      <w:r w:rsidR="007F6D14" w:rsidRPr="00766F17">
        <w:rPr>
          <w:rFonts w:ascii="Tahoma" w:hAnsi="Tahoma" w:cs="Tahoma"/>
          <w:sz w:val="20"/>
        </w:rPr>
        <w:t>1.467</w:t>
      </w:r>
      <w:r w:rsidRPr="00766F17">
        <w:rPr>
          <w:rFonts w:ascii="Tahoma" w:hAnsi="Tahoma" w:cs="Tahoma"/>
          <w:sz w:val="20"/>
        </w:rPr>
        <w:t>/2022</w:t>
      </w:r>
      <w:r w:rsidR="005D3A43">
        <w:rPr>
          <w:rFonts w:ascii="Tahoma" w:hAnsi="Tahoma" w:cs="Tahoma"/>
          <w:sz w:val="20"/>
        </w:rPr>
        <w:t>;</w:t>
      </w:r>
    </w:p>
    <w:p w:rsidR="00AC1722" w:rsidRPr="00766F17" w:rsidRDefault="00AC1722" w:rsidP="00AD12FB">
      <w:pPr>
        <w:spacing w:after="120"/>
        <w:ind w:firstLine="709"/>
        <w:jc w:val="both"/>
        <w:rPr>
          <w:rFonts w:ascii="Tahoma" w:hAnsi="Tahoma" w:cs="Tahoma"/>
          <w:sz w:val="20"/>
        </w:rPr>
      </w:pPr>
      <w:r w:rsidRPr="00766F17">
        <w:rPr>
          <w:rFonts w:ascii="Tahoma" w:hAnsi="Tahoma" w:cs="Tahoma"/>
          <w:sz w:val="20"/>
        </w:rPr>
        <w:t>•</w:t>
      </w:r>
      <w:r w:rsidRPr="00766F17">
        <w:rPr>
          <w:rFonts w:ascii="Tahoma" w:hAnsi="Tahoma" w:cs="Tahoma"/>
          <w:sz w:val="20"/>
        </w:rPr>
        <w:tab/>
        <w:t>Normas Gerais do RPPS ( Leis munici</w:t>
      </w:r>
      <w:r w:rsidR="00621CC7" w:rsidRPr="00766F17">
        <w:rPr>
          <w:rFonts w:ascii="Tahoma" w:hAnsi="Tahoma" w:cs="Tahoma"/>
          <w:sz w:val="20"/>
        </w:rPr>
        <w:t>p</w:t>
      </w:r>
      <w:r w:rsidR="002104B1" w:rsidRPr="00766F17">
        <w:rPr>
          <w:rFonts w:ascii="Tahoma" w:hAnsi="Tahoma" w:cs="Tahoma"/>
          <w:sz w:val="20"/>
        </w:rPr>
        <w:t>ai</w:t>
      </w:r>
      <w:r w:rsidR="00621CC7" w:rsidRPr="00766F17">
        <w:rPr>
          <w:rFonts w:ascii="Tahoma" w:hAnsi="Tahoma" w:cs="Tahoma"/>
          <w:sz w:val="20"/>
        </w:rPr>
        <w:t>s</w:t>
      </w:r>
      <w:r w:rsidRPr="00766F17">
        <w:rPr>
          <w:rFonts w:ascii="Tahoma" w:hAnsi="Tahoma" w:cs="Tahoma"/>
          <w:sz w:val="20"/>
        </w:rPr>
        <w:t xml:space="preserve"> da gestão do RPPS);</w:t>
      </w:r>
    </w:p>
    <w:p w:rsidR="00AC1722" w:rsidRPr="00766F17" w:rsidRDefault="00AC1722" w:rsidP="00AD12FB">
      <w:pPr>
        <w:spacing w:after="120"/>
        <w:ind w:firstLine="709"/>
        <w:jc w:val="both"/>
        <w:rPr>
          <w:rFonts w:ascii="Tahoma" w:hAnsi="Tahoma" w:cs="Tahoma"/>
          <w:sz w:val="20"/>
        </w:rPr>
      </w:pPr>
      <w:r w:rsidRPr="00766F17">
        <w:rPr>
          <w:rFonts w:ascii="Tahoma" w:hAnsi="Tahoma" w:cs="Tahoma"/>
          <w:sz w:val="20"/>
        </w:rPr>
        <w:t>•</w:t>
      </w:r>
      <w:r w:rsidRPr="00766F17">
        <w:rPr>
          <w:rFonts w:ascii="Tahoma" w:hAnsi="Tahoma" w:cs="Tahoma"/>
          <w:sz w:val="20"/>
        </w:rPr>
        <w:tab/>
        <w:t>Normas de Credenciamento determinada</w:t>
      </w:r>
      <w:r w:rsidR="002104B1" w:rsidRPr="00766F17">
        <w:rPr>
          <w:rFonts w:ascii="Tahoma" w:hAnsi="Tahoma" w:cs="Tahoma"/>
          <w:sz w:val="20"/>
        </w:rPr>
        <w:t>s</w:t>
      </w:r>
      <w:r w:rsidRPr="00766F17">
        <w:rPr>
          <w:rFonts w:ascii="Tahoma" w:hAnsi="Tahoma" w:cs="Tahoma"/>
          <w:sz w:val="20"/>
        </w:rPr>
        <w:t xml:space="preserve"> pel</w:t>
      </w:r>
      <w:r w:rsidR="002104B1" w:rsidRPr="00766F17">
        <w:rPr>
          <w:rFonts w:ascii="Tahoma" w:hAnsi="Tahoma" w:cs="Tahoma"/>
          <w:sz w:val="20"/>
        </w:rPr>
        <w:t>o</w:t>
      </w:r>
      <w:r w:rsidRPr="00766F17">
        <w:rPr>
          <w:rFonts w:ascii="Tahoma" w:hAnsi="Tahoma" w:cs="Tahoma"/>
          <w:sz w:val="20"/>
        </w:rPr>
        <w:t xml:space="preserve"> </w:t>
      </w:r>
      <w:r w:rsidR="00FA50ED" w:rsidRPr="00766F17">
        <w:rPr>
          <w:rFonts w:ascii="Tahoma" w:hAnsi="Tahoma" w:cs="Tahoma"/>
          <w:sz w:val="20"/>
        </w:rPr>
        <w:t>MPS</w:t>
      </w:r>
      <w:r w:rsidRPr="00766F17">
        <w:rPr>
          <w:rFonts w:ascii="Tahoma" w:hAnsi="Tahoma" w:cs="Tahoma"/>
          <w:sz w:val="20"/>
        </w:rPr>
        <w:t>;</w:t>
      </w:r>
    </w:p>
    <w:p w:rsidR="00AC1722" w:rsidRPr="00766F17" w:rsidRDefault="00AC1722" w:rsidP="00AD12FB">
      <w:pPr>
        <w:spacing w:after="120"/>
        <w:ind w:firstLine="709"/>
        <w:jc w:val="both"/>
        <w:rPr>
          <w:rFonts w:ascii="Tahoma" w:hAnsi="Tahoma" w:cs="Tahoma"/>
          <w:sz w:val="20"/>
        </w:rPr>
      </w:pPr>
      <w:r w:rsidRPr="00766F17">
        <w:rPr>
          <w:rFonts w:ascii="Tahoma" w:hAnsi="Tahoma" w:cs="Tahoma"/>
          <w:sz w:val="20"/>
        </w:rPr>
        <w:t>•</w:t>
      </w:r>
      <w:r w:rsidRPr="00766F17">
        <w:rPr>
          <w:rFonts w:ascii="Tahoma" w:hAnsi="Tahoma" w:cs="Tahoma"/>
          <w:sz w:val="20"/>
        </w:rPr>
        <w:tab/>
        <w:t>Normas da Comissão de Valores Mobiliários relativ</w:t>
      </w:r>
      <w:r w:rsidR="002104B1" w:rsidRPr="00766F17">
        <w:rPr>
          <w:rFonts w:ascii="Tahoma" w:hAnsi="Tahoma" w:cs="Tahoma"/>
          <w:sz w:val="20"/>
        </w:rPr>
        <w:t>as</w:t>
      </w:r>
      <w:r w:rsidRPr="00766F17">
        <w:rPr>
          <w:rFonts w:ascii="Tahoma" w:hAnsi="Tahoma" w:cs="Tahoma"/>
          <w:sz w:val="20"/>
        </w:rPr>
        <w:t xml:space="preserve"> aos Fundos de Investimentos;</w:t>
      </w:r>
    </w:p>
    <w:p w:rsidR="00AC1722" w:rsidRPr="00766F17" w:rsidRDefault="00AC1722" w:rsidP="00AD12FB">
      <w:pPr>
        <w:spacing w:after="120"/>
        <w:ind w:firstLine="709"/>
        <w:jc w:val="both"/>
        <w:rPr>
          <w:rFonts w:ascii="Tahoma" w:hAnsi="Tahoma" w:cs="Tahoma"/>
          <w:sz w:val="20"/>
        </w:rPr>
      </w:pPr>
      <w:r w:rsidRPr="00766F17">
        <w:rPr>
          <w:rFonts w:ascii="Tahoma" w:hAnsi="Tahoma" w:cs="Tahoma"/>
          <w:sz w:val="20"/>
        </w:rPr>
        <w:t>•</w:t>
      </w:r>
      <w:r w:rsidRPr="00766F17">
        <w:rPr>
          <w:rFonts w:ascii="Tahoma" w:hAnsi="Tahoma" w:cs="Tahoma"/>
          <w:sz w:val="20"/>
        </w:rPr>
        <w:tab/>
        <w:t>Normas do Banco Central do Brasil;</w:t>
      </w:r>
    </w:p>
    <w:p w:rsidR="00AC1722" w:rsidRPr="00766F17" w:rsidRDefault="00AC1722" w:rsidP="00AD12FB">
      <w:pPr>
        <w:spacing w:after="120"/>
        <w:ind w:firstLine="709"/>
        <w:jc w:val="both"/>
        <w:rPr>
          <w:rFonts w:ascii="Tahoma" w:hAnsi="Tahoma" w:cs="Tahoma"/>
          <w:sz w:val="20"/>
        </w:rPr>
      </w:pPr>
      <w:r w:rsidRPr="00766F17">
        <w:rPr>
          <w:rFonts w:ascii="Tahoma" w:hAnsi="Tahoma" w:cs="Tahoma"/>
          <w:sz w:val="20"/>
        </w:rPr>
        <w:t>•</w:t>
      </w:r>
      <w:r w:rsidRPr="00766F17">
        <w:rPr>
          <w:rFonts w:ascii="Tahoma" w:hAnsi="Tahoma" w:cs="Tahoma"/>
          <w:sz w:val="20"/>
        </w:rPr>
        <w:tab/>
        <w:t>Normas e Modelos da ANBIMA.</w:t>
      </w:r>
    </w:p>
    <w:p w:rsidR="00AC1722" w:rsidRPr="00766F17" w:rsidRDefault="00AC1722" w:rsidP="00AD12FB">
      <w:pPr>
        <w:spacing w:after="120"/>
        <w:ind w:firstLine="709"/>
        <w:jc w:val="both"/>
        <w:rPr>
          <w:rFonts w:ascii="Tahoma" w:hAnsi="Tahoma" w:cs="Tahoma"/>
          <w:sz w:val="20"/>
        </w:rPr>
      </w:pPr>
    </w:p>
    <w:p w:rsidR="00465C63" w:rsidRPr="00766F17" w:rsidRDefault="00465C63" w:rsidP="00AD12FB">
      <w:pPr>
        <w:spacing w:after="120"/>
        <w:ind w:firstLine="709"/>
        <w:jc w:val="both"/>
        <w:rPr>
          <w:rFonts w:ascii="Tahoma" w:hAnsi="Tahoma" w:cs="Tahoma"/>
          <w:sz w:val="20"/>
        </w:rPr>
      </w:pPr>
      <w:r w:rsidRPr="00766F17">
        <w:rPr>
          <w:rFonts w:ascii="Tahoma" w:hAnsi="Tahoma" w:cs="Tahoma"/>
          <w:sz w:val="20"/>
        </w:rPr>
        <w:t xml:space="preserve">É parte integrante desta </w:t>
      </w:r>
      <w:r w:rsidR="007A0B11" w:rsidRPr="00766F17">
        <w:rPr>
          <w:rFonts w:ascii="Tahoma" w:hAnsi="Tahoma" w:cs="Tahoma"/>
          <w:sz w:val="20"/>
        </w:rPr>
        <w:t>Política de Investimentos</w:t>
      </w:r>
      <w:r w:rsidRPr="00766F17">
        <w:rPr>
          <w:rFonts w:ascii="Tahoma" w:hAnsi="Tahoma" w:cs="Tahoma"/>
          <w:sz w:val="20"/>
        </w:rPr>
        <w:t xml:space="preserve"> cópia da </w:t>
      </w:r>
      <w:r w:rsidRPr="00766F17">
        <w:rPr>
          <w:rFonts w:ascii="Tahoma" w:hAnsi="Tahoma" w:cs="Tahoma"/>
          <w:b/>
          <w:bCs/>
          <w:sz w:val="20"/>
        </w:rPr>
        <w:t>Ata</w:t>
      </w:r>
      <w:r w:rsidRPr="00766F17">
        <w:rPr>
          <w:rFonts w:ascii="Tahoma" w:hAnsi="Tahoma" w:cs="Tahoma"/>
          <w:sz w:val="20"/>
        </w:rPr>
        <w:t xml:space="preserve"> do </w:t>
      </w:r>
      <w:r w:rsidR="008F04AC" w:rsidRPr="00766F17">
        <w:rPr>
          <w:rFonts w:ascii="Tahoma" w:hAnsi="Tahoma" w:cs="Tahoma"/>
          <w:b/>
          <w:bCs/>
          <w:sz w:val="20"/>
        </w:rPr>
        <w:fldChar w:fldCharType="begin"/>
      </w:r>
      <w:r w:rsidR="00A17DB5" w:rsidRPr="00766F17">
        <w:rPr>
          <w:rFonts w:ascii="Tahoma" w:hAnsi="Tahoma" w:cs="Tahoma"/>
          <w:b/>
          <w:bCs/>
          <w:sz w:val="20"/>
        </w:rPr>
        <w:instrText xml:space="preserve"> MERGEFIELD COMITÊ </w:instrText>
      </w:r>
      <w:r w:rsidR="008F04AC" w:rsidRPr="00766F17">
        <w:rPr>
          <w:rFonts w:ascii="Tahoma" w:hAnsi="Tahoma" w:cs="Tahoma"/>
          <w:b/>
          <w:bCs/>
          <w:sz w:val="20"/>
        </w:rPr>
        <w:fldChar w:fldCharType="separate"/>
      </w:r>
      <w:r w:rsidR="004A232E" w:rsidRPr="00BC514D">
        <w:rPr>
          <w:rFonts w:ascii="Tahoma" w:hAnsi="Tahoma" w:cs="Tahoma"/>
          <w:b/>
          <w:bCs/>
          <w:noProof/>
          <w:sz w:val="20"/>
        </w:rPr>
        <w:t>COMITÊ DE INVESTIMENTOS</w:t>
      </w:r>
      <w:r w:rsidR="008F04AC" w:rsidRPr="00766F17">
        <w:rPr>
          <w:rFonts w:ascii="Tahoma" w:hAnsi="Tahoma" w:cs="Tahoma"/>
          <w:b/>
          <w:bCs/>
          <w:sz w:val="20"/>
        </w:rPr>
        <w:fldChar w:fldCharType="end"/>
      </w:r>
      <w:r w:rsidR="00A17DB5" w:rsidRPr="00766F17">
        <w:rPr>
          <w:rFonts w:ascii="Tahoma" w:hAnsi="Tahoma" w:cs="Tahoma"/>
          <w:sz w:val="20"/>
        </w:rPr>
        <w:t xml:space="preserve"> e Ata do </w:t>
      </w:r>
      <w:r w:rsidR="008F04AC" w:rsidRPr="00766F17">
        <w:rPr>
          <w:rFonts w:ascii="Tahoma" w:hAnsi="Tahoma" w:cs="Tahoma"/>
          <w:b/>
          <w:bCs/>
          <w:sz w:val="20"/>
        </w:rPr>
        <w:fldChar w:fldCharType="begin"/>
      </w:r>
      <w:r w:rsidR="00A17DB5" w:rsidRPr="00766F17">
        <w:rPr>
          <w:rFonts w:ascii="Tahoma" w:hAnsi="Tahoma" w:cs="Tahoma"/>
          <w:b/>
          <w:bCs/>
          <w:sz w:val="20"/>
        </w:rPr>
        <w:instrText xml:space="preserve"> MERGEFIELD CONSELHO </w:instrText>
      </w:r>
      <w:r w:rsidR="008F04AC" w:rsidRPr="00766F17">
        <w:rPr>
          <w:rFonts w:ascii="Tahoma" w:hAnsi="Tahoma" w:cs="Tahoma"/>
          <w:b/>
          <w:bCs/>
          <w:sz w:val="20"/>
        </w:rPr>
        <w:fldChar w:fldCharType="separate"/>
      </w:r>
      <w:r w:rsidR="004A232E" w:rsidRPr="00BC514D">
        <w:rPr>
          <w:rFonts w:ascii="Tahoma" w:hAnsi="Tahoma" w:cs="Tahoma"/>
          <w:b/>
          <w:bCs/>
          <w:noProof/>
          <w:sz w:val="20"/>
        </w:rPr>
        <w:t>CONSELHO DO REGIME PRÓPRIO DE PREVIDÊNCIA DE ENTRE-IJUÍS</w:t>
      </w:r>
      <w:r w:rsidR="008F04AC" w:rsidRPr="00766F17">
        <w:rPr>
          <w:rFonts w:ascii="Tahoma" w:hAnsi="Tahoma" w:cs="Tahoma"/>
          <w:b/>
          <w:bCs/>
          <w:sz w:val="20"/>
        </w:rPr>
        <w:fldChar w:fldCharType="end"/>
      </w:r>
      <w:r w:rsidRPr="00766F17">
        <w:rPr>
          <w:rFonts w:ascii="Tahoma" w:hAnsi="Tahoma" w:cs="Tahoma"/>
          <w:sz w:val="20"/>
        </w:rPr>
        <w:t xml:space="preserve"> que aprova</w:t>
      </w:r>
      <w:r w:rsidR="00A17DB5" w:rsidRPr="00766F17">
        <w:rPr>
          <w:rFonts w:ascii="Tahoma" w:hAnsi="Tahoma" w:cs="Tahoma"/>
          <w:sz w:val="20"/>
        </w:rPr>
        <w:t>m</w:t>
      </w:r>
      <w:r w:rsidRPr="00766F17">
        <w:rPr>
          <w:rFonts w:ascii="Tahoma" w:hAnsi="Tahoma" w:cs="Tahoma"/>
          <w:sz w:val="20"/>
        </w:rPr>
        <w:t xml:space="preserve"> o presente instrumento, devidamente assinada</w:t>
      </w:r>
      <w:r w:rsidR="002104B1" w:rsidRPr="00766F17">
        <w:rPr>
          <w:rFonts w:ascii="Tahoma" w:hAnsi="Tahoma" w:cs="Tahoma"/>
          <w:sz w:val="20"/>
        </w:rPr>
        <w:t>s</w:t>
      </w:r>
      <w:r w:rsidRPr="00766F17">
        <w:rPr>
          <w:rFonts w:ascii="Tahoma" w:hAnsi="Tahoma" w:cs="Tahoma"/>
          <w:sz w:val="20"/>
        </w:rPr>
        <w:t xml:space="preserve"> por seus membros.</w:t>
      </w:r>
    </w:p>
    <w:p w:rsidR="00AC1722" w:rsidRPr="00766F17" w:rsidRDefault="00AC1722" w:rsidP="00AD12FB">
      <w:pPr>
        <w:spacing w:after="120"/>
        <w:ind w:firstLine="709"/>
        <w:jc w:val="both"/>
        <w:rPr>
          <w:rFonts w:ascii="Tahoma" w:hAnsi="Tahoma" w:cs="Tahoma"/>
          <w:sz w:val="20"/>
        </w:rPr>
      </w:pPr>
    </w:p>
    <w:p w:rsidR="00E16EDA" w:rsidRDefault="00465C63" w:rsidP="00E16EDA">
      <w:pPr>
        <w:spacing w:after="120"/>
        <w:ind w:firstLine="709"/>
        <w:jc w:val="both"/>
        <w:rPr>
          <w:rFonts w:ascii="Tahoma" w:hAnsi="Tahoma" w:cs="Tahoma"/>
          <w:sz w:val="20"/>
        </w:rPr>
      </w:pPr>
      <w:r w:rsidRPr="00766F17">
        <w:rPr>
          <w:rFonts w:ascii="Tahoma" w:hAnsi="Tahoma" w:cs="Tahoma"/>
          <w:sz w:val="20"/>
        </w:rPr>
        <w:t>O</w:t>
      </w:r>
      <w:r w:rsidRPr="00766F17">
        <w:rPr>
          <w:rFonts w:ascii="Tahoma" w:hAnsi="Tahoma" w:cs="Tahoma"/>
          <w:b/>
          <w:sz w:val="20"/>
        </w:rPr>
        <w:t xml:space="preserve"> </w:t>
      </w:r>
      <w:r w:rsidR="008F04AC" w:rsidRPr="00766F17">
        <w:rPr>
          <w:rFonts w:ascii="Tahoma" w:hAnsi="Tahoma" w:cs="Tahoma"/>
          <w:b/>
          <w:noProof/>
        </w:rPr>
        <w:fldChar w:fldCharType="begin"/>
      </w:r>
      <w:r w:rsidR="002D02EA" w:rsidRPr="00766F17">
        <w:rPr>
          <w:rFonts w:ascii="Tahoma" w:hAnsi="Tahoma" w:cs="Tahoma"/>
          <w:b/>
          <w:noProof/>
        </w:rPr>
        <w:instrText xml:space="preserve"> MERGEFIELD CONSELHO </w:instrText>
      </w:r>
      <w:r w:rsidR="008F04AC" w:rsidRPr="00766F17">
        <w:rPr>
          <w:rFonts w:ascii="Tahoma" w:hAnsi="Tahoma" w:cs="Tahoma"/>
          <w:b/>
          <w:noProof/>
        </w:rPr>
        <w:fldChar w:fldCharType="separate"/>
      </w:r>
      <w:r w:rsidR="004A232E" w:rsidRPr="00BC514D">
        <w:rPr>
          <w:rFonts w:ascii="Tahoma" w:hAnsi="Tahoma" w:cs="Tahoma"/>
          <w:b/>
          <w:noProof/>
        </w:rPr>
        <w:t>CONSELHO DO REGIME PRÓPRIO DE PREVIDÊNCIA DE ENTRE-IJUÍS</w:t>
      </w:r>
      <w:r w:rsidR="008F04AC" w:rsidRPr="00766F17">
        <w:rPr>
          <w:rFonts w:ascii="Tahoma" w:hAnsi="Tahoma" w:cs="Tahoma"/>
          <w:b/>
          <w:noProof/>
        </w:rPr>
        <w:fldChar w:fldCharType="end"/>
      </w:r>
      <w:r w:rsidRPr="00766F17">
        <w:rPr>
          <w:rFonts w:ascii="Tahoma" w:hAnsi="Tahoma" w:cs="Tahoma"/>
          <w:sz w:val="20"/>
        </w:rPr>
        <w:t xml:space="preserve">, no uso das atribuições que lhe são conferidas pelo </w:t>
      </w:r>
      <w:r w:rsidR="008F04AC" w:rsidRPr="00766F17">
        <w:rPr>
          <w:rFonts w:ascii="Tahoma" w:hAnsi="Tahoma" w:cs="Tahoma"/>
          <w:b/>
          <w:bCs/>
          <w:noProof/>
          <w:sz w:val="20"/>
        </w:rPr>
        <w:fldChar w:fldCharType="begin"/>
      </w:r>
      <w:r w:rsidR="00876A03" w:rsidRPr="00766F17">
        <w:rPr>
          <w:rFonts w:ascii="Tahoma" w:hAnsi="Tahoma" w:cs="Tahoma"/>
          <w:b/>
          <w:bCs/>
          <w:noProof/>
          <w:sz w:val="20"/>
        </w:rPr>
        <w:instrText xml:space="preserve"> MERGEFIELD LEI </w:instrText>
      </w:r>
      <w:r w:rsidR="008F04AC" w:rsidRPr="00766F17">
        <w:rPr>
          <w:rFonts w:ascii="Tahoma" w:hAnsi="Tahoma" w:cs="Tahoma"/>
          <w:b/>
          <w:bCs/>
          <w:noProof/>
          <w:sz w:val="20"/>
        </w:rPr>
        <w:fldChar w:fldCharType="separate"/>
      </w:r>
      <w:r w:rsidR="004A232E" w:rsidRPr="00BC514D">
        <w:rPr>
          <w:rFonts w:ascii="Tahoma" w:hAnsi="Tahoma" w:cs="Tahoma"/>
          <w:b/>
          <w:bCs/>
          <w:noProof/>
          <w:sz w:val="20"/>
        </w:rPr>
        <w:t>Lei Municipal n° 3.094/2018, de 19 de Junho de 2018</w:t>
      </w:r>
      <w:r w:rsidR="008F04AC" w:rsidRPr="00766F17">
        <w:rPr>
          <w:rFonts w:ascii="Tahoma" w:hAnsi="Tahoma" w:cs="Tahoma"/>
          <w:b/>
          <w:bCs/>
          <w:noProof/>
          <w:sz w:val="20"/>
        </w:rPr>
        <w:fldChar w:fldCharType="end"/>
      </w:r>
      <w:r w:rsidRPr="00766F17">
        <w:rPr>
          <w:rFonts w:ascii="Tahoma" w:hAnsi="Tahoma" w:cs="Tahoma"/>
          <w:sz w:val="20"/>
        </w:rPr>
        <w:t>, torna público que, em sessão realizada em ______________, com base no art. 4º Resolução CMN</w:t>
      </w:r>
      <w:r w:rsidR="002104B1" w:rsidRPr="00766F17">
        <w:rPr>
          <w:rFonts w:ascii="Tahoma" w:hAnsi="Tahoma" w:cs="Tahoma"/>
          <w:sz w:val="20"/>
        </w:rPr>
        <w:t xml:space="preserve"> nº</w:t>
      </w:r>
      <w:r w:rsidRPr="00766F17">
        <w:rPr>
          <w:rFonts w:ascii="Tahoma" w:hAnsi="Tahoma" w:cs="Tahoma"/>
          <w:sz w:val="20"/>
        </w:rPr>
        <w:t xml:space="preserve"> </w:t>
      </w:r>
      <w:r w:rsidR="00236C13" w:rsidRPr="00766F17">
        <w:rPr>
          <w:rFonts w:ascii="Tahoma" w:hAnsi="Tahoma" w:cs="Tahoma"/>
          <w:sz w:val="20"/>
        </w:rPr>
        <w:t>4.963</w:t>
      </w:r>
      <w:r w:rsidRPr="00766F17">
        <w:rPr>
          <w:rFonts w:ascii="Tahoma" w:hAnsi="Tahoma" w:cs="Tahoma"/>
          <w:sz w:val="20"/>
        </w:rPr>
        <w:t>/20</w:t>
      </w:r>
      <w:r w:rsidR="00236C13" w:rsidRPr="00766F17">
        <w:rPr>
          <w:rFonts w:ascii="Tahoma" w:hAnsi="Tahoma" w:cs="Tahoma"/>
          <w:sz w:val="20"/>
        </w:rPr>
        <w:t>21</w:t>
      </w:r>
      <w:r w:rsidRPr="00766F17">
        <w:rPr>
          <w:rFonts w:ascii="Tahoma" w:hAnsi="Tahoma" w:cs="Tahoma"/>
          <w:sz w:val="20"/>
        </w:rPr>
        <w:t xml:space="preserve">, APROVA esta </w:t>
      </w:r>
      <w:r w:rsidR="007A0B11" w:rsidRPr="00766F17">
        <w:rPr>
          <w:rFonts w:ascii="Tahoma" w:hAnsi="Tahoma" w:cs="Tahoma"/>
          <w:sz w:val="20"/>
        </w:rPr>
        <w:t>POLÍTICA DE INVESTIMENTOS</w:t>
      </w:r>
      <w:r w:rsidRPr="00766F17">
        <w:rPr>
          <w:rFonts w:ascii="Tahoma" w:hAnsi="Tahoma" w:cs="Tahoma"/>
          <w:sz w:val="20"/>
        </w:rPr>
        <w:t xml:space="preserve"> referente ao </w:t>
      </w:r>
      <w:r w:rsidRPr="00766F17">
        <w:rPr>
          <w:rFonts w:ascii="Tahoma" w:hAnsi="Tahoma" w:cs="Tahoma"/>
          <w:b/>
          <w:bCs/>
          <w:sz w:val="20"/>
        </w:rPr>
        <w:t>EXERCÍCIO DE 202</w:t>
      </w:r>
      <w:r w:rsidR="00E16EDA" w:rsidRPr="00766F17">
        <w:rPr>
          <w:rFonts w:ascii="Tahoma" w:hAnsi="Tahoma" w:cs="Tahoma"/>
          <w:b/>
          <w:bCs/>
          <w:sz w:val="20"/>
        </w:rPr>
        <w:t>5</w:t>
      </w:r>
      <w:r w:rsidRPr="00766F17">
        <w:rPr>
          <w:rFonts w:ascii="Tahoma" w:hAnsi="Tahoma" w:cs="Tahoma"/>
          <w:sz w:val="20"/>
        </w:rPr>
        <w:t>.</w:t>
      </w:r>
    </w:p>
    <w:p w:rsidR="004D70B5" w:rsidRDefault="004D70B5" w:rsidP="00E16EDA">
      <w:pPr>
        <w:spacing w:after="120"/>
        <w:ind w:firstLine="709"/>
        <w:jc w:val="both"/>
        <w:rPr>
          <w:rFonts w:ascii="Tahoma" w:hAnsi="Tahoma" w:cs="Tahoma"/>
          <w:sz w:val="20"/>
        </w:rPr>
      </w:pPr>
    </w:p>
    <w:tbl>
      <w:tblPr>
        <w:tblStyle w:val="Tabelacomgrade"/>
        <w:tblW w:w="0" w:type="auto"/>
        <w:tblLook w:val="04A0"/>
      </w:tblPr>
      <w:tblGrid>
        <w:gridCol w:w="4530"/>
        <w:gridCol w:w="4531"/>
      </w:tblGrid>
      <w:tr w:rsidR="004D70B5" w:rsidTr="004D70B5">
        <w:trPr>
          <w:trHeight w:val="1300"/>
        </w:trPr>
        <w:tc>
          <w:tcPr>
            <w:tcW w:w="4530" w:type="dxa"/>
          </w:tcPr>
          <w:p w:rsidR="004D70B5" w:rsidRDefault="004D70B5" w:rsidP="00A50E9C">
            <w:pPr>
              <w:spacing w:after="120"/>
              <w:jc w:val="both"/>
              <w:rPr>
                <w:rFonts w:ascii="Tahoma" w:hAnsi="Tahoma" w:cs="Tahoma"/>
                <w:sz w:val="20"/>
              </w:rPr>
            </w:pPr>
            <w:r>
              <w:rPr>
                <w:rFonts w:ascii="Tahoma" w:hAnsi="Tahoma" w:cs="Tahoma"/>
                <w:sz w:val="20"/>
              </w:rPr>
              <w:t>Ass.:</w:t>
            </w:r>
          </w:p>
        </w:tc>
        <w:tc>
          <w:tcPr>
            <w:tcW w:w="4531" w:type="dxa"/>
          </w:tcPr>
          <w:p w:rsidR="004D70B5" w:rsidRDefault="004D70B5" w:rsidP="00A50E9C">
            <w:pPr>
              <w:spacing w:after="120"/>
              <w:jc w:val="both"/>
              <w:rPr>
                <w:rFonts w:ascii="Tahoma" w:hAnsi="Tahoma" w:cs="Tahoma"/>
                <w:sz w:val="20"/>
              </w:rPr>
            </w:pPr>
            <w:r>
              <w:rPr>
                <w:rFonts w:ascii="Tahoma" w:hAnsi="Tahoma" w:cs="Tahoma"/>
                <w:sz w:val="20"/>
              </w:rPr>
              <w:t>Ass.:</w:t>
            </w:r>
          </w:p>
        </w:tc>
      </w:tr>
      <w:tr w:rsidR="004D70B5" w:rsidTr="004D70B5">
        <w:tc>
          <w:tcPr>
            <w:tcW w:w="4530" w:type="dxa"/>
          </w:tcPr>
          <w:p w:rsidR="004D70B5" w:rsidRDefault="004D70B5" w:rsidP="004D70B5">
            <w:pPr>
              <w:spacing w:after="120"/>
              <w:jc w:val="center"/>
              <w:rPr>
                <w:rFonts w:ascii="Tahoma" w:hAnsi="Tahoma" w:cs="Tahoma"/>
                <w:sz w:val="20"/>
              </w:rPr>
            </w:pPr>
            <w:r w:rsidRPr="00B46C29">
              <w:rPr>
                <w:rFonts w:ascii="Tahoma" w:hAnsi="Tahoma" w:cs="Tahoma"/>
                <w:sz w:val="18"/>
              </w:rPr>
              <w:t>Gestor de Investimentos</w:t>
            </w:r>
          </w:p>
        </w:tc>
        <w:tc>
          <w:tcPr>
            <w:tcW w:w="4531" w:type="dxa"/>
          </w:tcPr>
          <w:p w:rsidR="004D70B5" w:rsidRDefault="004D70B5" w:rsidP="004D70B5">
            <w:pPr>
              <w:spacing w:after="120"/>
              <w:jc w:val="center"/>
              <w:rPr>
                <w:rFonts w:ascii="Tahoma" w:hAnsi="Tahoma" w:cs="Tahoma"/>
                <w:sz w:val="20"/>
              </w:rPr>
            </w:pPr>
            <w:r>
              <w:rPr>
                <w:rFonts w:ascii="Tahoma" w:hAnsi="Tahoma" w:cs="Tahoma"/>
                <w:sz w:val="18"/>
              </w:rPr>
              <w:t>Responsável pela Unidade Gestora</w:t>
            </w:r>
          </w:p>
        </w:tc>
      </w:tr>
      <w:tr w:rsidR="004D70B5" w:rsidTr="004D70B5">
        <w:tc>
          <w:tcPr>
            <w:tcW w:w="4530" w:type="dxa"/>
          </w:tcPr>
          <w:p w:rsidR="004D70B5" w:rsidRDefault="008F04AC" w:rsidP="004D70B5">
            <w:pPr>
              <w:spacing w:after="120"/>
              <w:jc w:val="center"/>
              <w:rPr>
                <w:rFonts w:ascii="Tahoma" w:hAnsi="Tahoma" w:cs="Tahoma"/>
                <w:sz w:val="20"/>
              </w:rPr>
            </w:pPr>
            <w:r>
              <w:rPr>
                <w:rFonts w:ascii="Tahoma" w:hAnsi="Tahoma" w:cs="Tahoma"/>
                <w:b/>
                <w:noProof/>
                <w:sz w:val="18"/>
                <w:szCs w:val="18"/>
              </w:rPr>
              <w:fldChar w:fldCharType="begin"/>
            </w:r>
            <w:r w:rsidR="004D70B5">
              <w:rPr>
                <w:rFonts w:ascii="Tahoma" w:hAnsi="Tahoma" w:cs="Tahoma"/>
                <w:b/>
                <w:noProof/>
                <w:sz w:val="18"/>
                <w:szCs w:val="18"/>
              </w:rPr>
              <w:instrText xml:space="preserve"> MERGEFIELD PROFISSIONAL_CERTIFICADO </w:instrText>
            </w:r>
            <w:r>
              <w:rPr>
                <w:rFonts w:ascii="Tahoma" w:hAnsi="Tahoma" w:cs="Tahoma"/>
                <w:b/>
                <w:noProof/>
                <w:sz w:val="18"/>
                <w:szCs w:val="18"/>
              </w:rPr>
              <w:fldChar w:fldCharType="separate"/>
            </w:r>
            <w:r w:rsidR="004A232E" w:rsidRPr="00BC514D">
              <w:rPr>
                <w:rFonts w:ascii="Tahoma" w:hAnsi="Tahoma" w:cs="Tahoma"/>
                <w:b/>
                <w:noProof/>
                <w:sz w:val="18"/>
                <w:szCs w:val="18"/>
              </w:rPr>
              <w:t>Rodrigo Pettenon</w:t>
            </w:r>
            <w:r>
              <w:rPr>
                <w:rFonts w:ascii="Tahoma" w:hAnsi="Tahoma" w:cs="Tahoma"/>
                <w:b/>
                <w:noProof/>
                <w:sz w:val="18"/>
                <w:szCs w:val="18"/>
              </w:rPr>
              <w:fldChar w:fldCharType="end"/>
            </w:r>
          </w:p>
        </w:tc>
        <w:tc>
          <w:tcPr>
            <w:tcW w:w="4531" w:type="dxa"/>
          </w:tcPr>
          <w:p w:rsidR="004D70B5" w:rsidRDefault="008F04AC" w:rsidP="004D70B5">
            <w:pPr>
              <w:spacing w:after="120"/>
              <w:jc w:val="center"/>
              <w:rPr>
                <w:rFonts w:ascii="Tahoma" w:hAnsi="Tahoma" w:cs="Tahoma"/>
                <w:sz w:val="20"/>
              </w:rPr>
            </w:pPr>
            <w:r w:rsidRPr="00A17DB5">
              <w:rPr>
                <w:rFonts w:ascii="Tahoma" w:hAnsi="Tahoma" w:cs="Tahoma"/>
                <w:b/>
                <w:bCs/>
                <w:sz w:val="18"/>
              </w:rPr>
              <w:fldChar w:fldCharType="begin"/>
            </w:r>
            <w:r w:rsidR="004D70B5" w:rsidRPr="00A17DB5">
              <w:rPr>
                <w:rFonts w:ascii="Tahoma" w:hAnsi="Tahoma" w:cs="Tahoma"/>
                <w:b/>
                <w:bCs/>
                <w:sz w:val="18"/>
              </w:rPr>
              <w:instrText xml:space="preserve"> MERGEFIELD PRESIDENTE </w:instrText>
            </w:r>
            <w:r w:rsidRPr="00A17DB5">
              <w:rPr>
                <w:rFonts w:ascii="Tahoma" w:hAnsi="Tahoma" w:cs="Tahoma"/>
                <w:b/>
                <w:bCs/>
                <w:sz w:val="18"/>
              </w:rPr>
              <w:fldChar w:fldCharType="separate"/>
            </w:r>
            <w:r w:rsidR="004A232E" w:rsidRPr="00BC514D">
              <w:rPr>
                <w:rFonts w:ascii="Tahoma" w:hAnsi="Tahoma" w:cs="Tahoma"/>
                <w:b/>
                <w:bCs/>
                <w:noProof/>
                <w:sz w:val="18"/>
              </w:rPr>
              <w:t>REGINA APARECIDA MACHADO DE SOUZA</w:t>
            </w:r>
            <w:r w:rsidRPr="00A17DB5">
              <w:rPr>
                <w:rFonts w:ascii="Tahoma" w:hAnsi="Tahoma" w:cs="Tahoma"/>
                <w:b/>
                <w:bCs/>
                <w:sz w:val="18"/>
              </w:rPr>
              <w:fldChar w:fldCharType="end"/>
            </w:r>
          </w:p>
        </w:tc>
      </w:tr>
    </w:tbl>
    <w:p w:rsidR="007E1FF6" w:rsidRDefault="007E1FF6" w:rsidP="00A50E9C">
      <w:pPr>
        <w:spacing w:after="120"/>
        <w:jc w:val="both"/>
        <w:rPr>
          <w:rFonts w:ascii="Tahoma" w:hAnsi="Tahoma" w:cs="Tahoma"/>
          <w:sz w:val="20"/>
        </w:rPr>
      </w:pPr>
    </w:p>
    <w:bookmarkStart w:id="47" w:name="_Toc181778190"/>
    <w:p w:rsidR="00BE2837" w:rsidRPr="007D4405" w:rsidRDefault="00197818" w:rsidP="000C021C">
      <w:pPr>
        <w:pStyle w:val="Ttulo2"/>
        <w:jc w:val="center"/>
        <w:rPr>
          <w:rFonts w:ascii="Tahoma" w:hAnsi="Tahoma" w:cs="Tahoma"/>
          <w:b/>
          <w:bCs/>
          <w:sz w:val="36"/>
          <w:szCs w:val="40"/>
        </w:rPr>
      </w:pPr>
      <w:r w:rsidRPr="00E4782B">
        <w:object w:dxaOrig="2425" w:dyaOrig="2598">
          <v:shape id="_x0000_i1077" type="#_x0000_t75" style="width:9.4pt;height:8.15pt" o:ole="">
            <v:imagedata r:id="rId8" o:title=""/>
          </v:shape>
          <o:OLEObject Type="Embed" ProgID="CorelDRAW.Graphic.13" ShapeID="_x0000_i1077" DrawAspect="Content" ObjectID="_1792498613" r:id="rId76"/>
        </w:object>
      </w:r>
      <w:r w:rsidR="00BE2837" w:rsidRPr="00197818">
        <w:rPr>
          <w:rFonts w:ascii="Tahoma" w:eastAsiaTheme="minorEastAsia" w:hAnsi="Tahoma" w:cs="Tahoma"/>
          <w:b/>
          <w:color w:val="002060"/>
          <w:sz w:val="32"/>
          <w:szCs w:val="36"/>
        </w:rPr>
        <w:t>ANEXO I</w:t>
      </w:r>
      <w:bookmarkEnd w:id="47"/>
      <w:r w:rsidRPr="00E8601E">
        <w:rPr>
          <w:sz w:val="22"/>
        </w:rPr>
        <w:object w:dxaOrig="3163" w:dyaOrig="3187">
          <v:shape id="_x0000_i1078" type="#_x0000_t75" style="width:21.9pt;height:23.15pt" o:ole="">
            <v:imagedata r:id="rId10" o:title=""/>
          </v:shape>
          <o:OLEObject Type="Embed" ProgID="CorelDRAW.Graphic.13" ShapeID="_x0000_i1078" DrawAspect="Content" ObjectID="_1792498614" r:id="rId77"/>
        </w:object>
      </w:r>
    </w:p>
    <w:p w:rsidR="005E6436" w:rsidRPr="00BE2837" w:rsidRDefault="00D27C87" w:rsidP="00A50E9C">
      <w:pPr>
        <w:spacing w:after="120"/>
        <w:jc w:val="center"/>
        <w:rPr>
          <w:rFonts w:ascii="Tahoma" w:hAnsi="Tahoma" w:cs="Tahoma"/>
          <w:b/>
          <w:bCs/>
          <w:sz w:val="20"/>
        </w:rPr>
      </w:pPr>
      <w:r w:rsidRPr="00D27C87">
        <w:rPr>
          <w:noProof/>
        </w:rPr>
        <w:drawing>
          <wp:inline distT="0" distB="0" distL="0" distR="0">
            <wp:extent cx="5760085" cy="4178300"/>
            <wp:effectExtent l="0" t="0" r="0" b="0"/>
            <wp:docPr id="911798198"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60085" cy="4178300"/>
                    </a:xfrm>
                    <a:prstGeom prst="rect">
                      <a:avLst/>
                    </a:prstGeom>
                    <a:noFill/>
                    <a:ln>
                      <a:noFill/>
                    </a:ln>
                  </pic:spPr>
                </pic:pic>
              </a:graphicData>
            </a:graphic>
          </wp:inline>
        </w:drawing>
      </w:r>
    </w:p>
    <w:sectPr w:rsidR="005E6436" w:rsidRPr="00BE2837" w:rsidSect="000F7FA7">
      <w:footerReference w:type="default" r:id="rId79"/>
      <w:pgSz w:w="11906" w:h="16838"/>
      <w:pgMar w:top="1701"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5F5A" w:rsidRDefault="00D65F5A" w:rsidP="00D87192">
      <w:pPr>
        <w:spacing w:after="0" w:line="240" w:lineRule="auto"/>
      </w:pPr>
      <w:r>
        <w:separator/>
      </w:r>
    </w:p>
    <w:p w:rsidR="00D65F5A" w:rsidRDefault="00D65F5A"/>
    <w:p w:rsidR="00D65F5A" w:rsidRDefault="00D65F5A" w:rsidP="006F780A"/>
    <w:p w:rsidR="00D65F5A" w:rsidRDefault="00D65F5A" w:rsidP="006F780A"/>
  </w:endnote>
  <w:endnote w:type="continuationSeparator" w:id="0">
    <w:p w:rsidR="00D65F5A" w:rsidRDefault="00D65F5A" w:rsidP="00D87192">
      <w:pPr>
        <w:spacing w:after="0" w:line="240" w:lineRule="auto"/>
      </w:pPr>
      <w:r>
        <w:continuationSeparator/>
      </w:r>
    </w:p>
    <w:p w:rsidR="00D65F5A" w:rsidRDefault="00D65F5A"/>
    <w:p w:rsidR="00D65F5A" w:rsidRDefault="00D65F5A" w:rsidP="006F780A"/>
    <w:p w:rsidR="00D65F5A" w:rsidRDefault="00D65F5A" w:rsidP="006F780A"/>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radley Hand ITC">
    <w:altName w:val="Viner Hand ITC"/>
    <w:charset w:val="00"/>
    <w:family w:val="script"/>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B11" w:rsidRPr="00B96866" w:rsidRDefault="008F04AC">
    <w:pPr>
      <w:pStyle w:val="Rodap"/>
      <w:jc w:val="right"/>
      <w:rPr>
        <w:color w:val="808080" w:themeColor="background1" w:themeShade="80"/>
        <w:sz w:val="16"/>
        <w:szCs w:val="16"/>
      </w:rPr>
    </w:pPr>
    <w:sdt>
      <w:sdtPr>
        <w:id w:val="-705101851"/>
        <w:docPartObj>
          <w:docPartGallery w:val="Page Numbers (Bottom of Page)"/>
          <w:docPartUnique/>
        </w:docPartObj>
      </w:sdtPr>
      <w:sdtEndPr>
        <w:rPr>
          <w:rFonts w:ascii="Tahoma" w:hAnsi="Tahoma" w:cs="Tahoma"/>
          <w:color w:val="808080" w:themeColor="background1" w:themeShade="80"/>
          <w:sz w:val="16"/>
          <w:szCs w:val="16"/>
        </w:rPr>
      </w:sdtEndPr>
      <w:sdtContent>
        <w:r w:rsidRPr="00B96866">
          <w:rPr>
            <w:rFonts w:ascii="Tahoma" w:hAnsi="Tahoma" w:cs="Tahoma"/>
            <w:color w:val="808080" w:themeColor="background1" w:themeShade="80"/>
            <w:sz w:val="16"/>
            <w:szCs w:val="16"/>
          </w:rPr>
          <w:fldChar w:fldCharType="begin"/>
        </w:r>
        <w:r w:rsidR="007A0B11" w:rsidRPr="00B96866">
          <w:rPr>
            <w:rFonts w:ascii="Tahoma" w:hAnsi="Tahoma" w:cs="Tahoma"/>
            <w:color w:val="808080" w:themeColor="background1" w:themeShade="80"/>
            <w:sz w:val="16"/>
            <w:szCs w:val="16"/>
          </w:rPr>
          <w:instrText xml:space="preserve"> PAGE   \* MERGEFORMAT </w:instrText>
        </w:r>
        <w:r w:rsidRPr="00B96866">
          <w:rPr>
            <w:rFonts w:ascii="Tahoma" w:hAnsi="Tahoma" w:cs="Tahoma"/>
            <w:color w:val="808080" w:themeColor="background1" w:themeShade="80"/>
            <w:sz w:val="16"/>
            <w:szCs w:val="16"/>
          </w:rPr>
          <w:fldChar w:fldCharType="separate"/>
        </w:r>
        <w:r w:rsidR="00147AD5">
          <w:rPr>
            <w:rFonts w:ascii="Tahoma" w:hAnsi="Tahoma" w:cs="Tahoma"/>
            <w:noProof/>
            <w:color w:val="808080" w:themeColor="background1" w:themeShade="80"/>
            <w:sz w:val="16"/>
            <w:szCs w:val="16"/>
          </w:rPr>
          <w:t>3</w:t>
        </w:r>
        <w:r w:rsidRPr="00B96866">
          <w:rPr>
            <w:rFonts w:ascii="Tahoma" w:hAnsi="Tahoma" w:cs="Tahoma"/>
            <w:color w:val="808080" w:themeColor="background1" w:themeShade="80"/>
            <w:sz w:val="16"/>
            <w:szCs w:val="16"/>
          </w:rPr>
          <w:fldChar w:fldCharType="end"/>
        </w:r>
        <w:r w:rsidR="007A0B11" w:rsidRPr="002804C5">
          <w:rPr>
            <w:noProof/>
          </w:rPr>
          <w:t xml:space="preserve"> </w:t>
        </w:r>
      </w:sdtContent>
    </w:sdt>
  </w:p>
  <w:p w:rsidR="007A0B11" w:rsidRDefault="007A0B11">
    <w:pPr>
      <w:pStyle w:val="Rodap"/>
    </w:pPr>
  </w:p>
  <w:p w:rsidR="007A0B11" w:rsidRDefault="007A0B11" w:rsidP="006F780A"/>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5F5A" w:rsidRDefault="00D65F5A" w:rsidP="00D87192">
      <w:pPr>
        <w:spacing w:after="0" w:line="240" w:lineRule="auto"/>
      </w:pPr>
      <w:r>
        <w:separator/>
      </w:r>
    </w:p>
    <w:p w:rsidR="00D65F5A" w:rsidRDefault="00D65F5A"/>
    <w:p w:rsidR="00D65F5A" w:rsidRDefault="00D65F5A" w:rsidP="006F780A"/>
    <w:p w:rsidR="00D65F5A" w:rsidRDefault="00D65F5A" w:rsidP="006F780A"/>
  </w:footnote>
  <w:footnote w:type="continuationSeparator" w:id="0">
    <w:p w:rsidR="00D65F5A" w:rsidRDefault="00D65F5A" w:rsidP="00D87192">
      <w:pPr>
        <w:spacing w:after="0" w:line="240" w:lineRule="auto"/>
      </w:pPr>
      <w:r>
        <w:continuationSeparator/>
      </w:r>
    </w:p>
    <w:p w:rsidR="00D65F5A" w:rsidRDefault="00D65F5A"/>
    <w:p w:rsidR="00D65F5A" w:rsidRDefault="00D65F5A" w:rsidP="006F780A"/>
    <w:p w:rsidR="00D65F5A" w:rsidRDefault="00D65F5A" w:rsidP="006F780A"/>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B7E8C"/>
    <w:multiLevelType w:val="hybridMultilevel"/>
    <w:tmpl w:val="F41C881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BBD79AA"/>
    <w:multiLevelType w:val="hybridMultilevel"/>
    <w:tmpl w:val="D9F62D7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FCC3040"/>
    <w:multiLevelType w:val="hybridMultilevel"/>
    <w:tmpl w:val="C9F8A9E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10E6783E"/>
    <w:multiLevelType w:val="hybridMultilevel"/>
    <w:tmpl w:val="9BA4682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1A3945DA"/>
    <w:multiLevelType w:val="hybridMultilevel"/>
    <w:tmpl w:val="BD82A3FA"/>
    <w:lvl w:ilvl="0" w:tplc="297CCE0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5AD1F07"/>
    <w:multiLevelType w:val="hybridMultilevel"/>
    <w:tmpl w:val="2ADA49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91554A8"/>
    <w:multiLevelType w:val="hybridMultilevel"/>
    <w:tmpl w:val="CD2223D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37404121"/>
    <w:multiLevelType w:val="hybridMultilevel"/>
    <w:tmpl w:val="852667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4A87584E"/>
    <w:multiLevelType w:val="hybridMultilevel"/>
    <w:tmpl w:val="DE64652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4DBF5DE5"/>
    <w:multiLevelType w:val="hybridMultilevel"/>
    <w:tmpl w:val="E014F7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F7D2477"/>
    <w:multiLevelType w:val="hybridMultilevel"/>
    <w:tmpl w:val="850805E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5BA08EF"/>
    <w:multiLevelType w:val="hybridMultilevel"/>
    <w:tmpl w:val="EB5251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56065FB2"/>
    <w:multiLevelType w:val="hybridMultilevel"/>
    <w:tmpl w:val="F3D25D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8677B2D"/>
    <w:multiLevelType w:val="hybridMultilevel"/>
    <w:tmpl w:val="910269DC"/>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6B2C36E6"/>
    <w:multiLevelType w:val="hybridMultilevel"/>
    <w:tmpl w:val="A7781A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DFB7767"/>
    <w:multiLevelType w:val="hybridMultilevel"/>
    <w:tmpl w:val="D416DDB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6F765137"/>
    <w:multiLevelType w:val="hybridMultilevel"/>
    <w:tmpl w:val="01DA583C"/>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71701ADA"/>
    <w:multiLevelType w:val="hybridMultilevel"/>
    <w:tmpl w:val="74B24418"/>
    <w:lvl w:ilvl="0" w:tplc="DDAC92BE">
      <w:start w:val="1"/>
      <w:numFmt w:val="lowerLetter"/>
      <w:lvlText w:val="%1)"/>
      <w:lvlJc w:val="left"/>
      <w:pPr>
        <w:ind w:left="720" w:hanging="360"/>
      </w:pPr>
      <w:rPr>
        <w:rFonts w:ascii="Tahoma" w:eastAsiaTheme="minorEastAsia" w:hAnsi="Tahoma" w:cs="Tahom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5341CBE"/>
    <w:multiLevelType w:val="hybridMultilevel"/>
    <w:tmpl w:val="873C72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75AA4E7B"/>
    <w:multiLevelType w:val="hybridMultilevel"/>
    <w:tmpl w:val="6916C8D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8C02CCD"/>
    <w:multiLevelType w:val="hybridMultilevel"/>
    <w:tmpl w:val="B71C485C"/>
    <w:lvl w:ilvl="0" w:tplc="79309F76">
      <w:start w:val="1"/>
      <w:numFmt w:val="lowerLetter"/>
      <w:lvlText w:val="%1)"/>
      <w:lvlJc w:val="left"/>
      <w:pPr>
        <w:ind w:left="720" w:hanging="360"/>
      </w:pPr>
      <w:rPr>
        <w:rFonts w:ascii="Tahoma" w:hAnsi="Tahoma" w:cs="Tahom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7F733C4F"/>
    <w:multiLevelType w:val="hybridMultilevel"/>
    <w:tmpl w:val="F776106C"/>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7F970C73"/>
    <w:multiLevelType w:val="hybridMultilevel"/>
    <w:tmpl w:val="948642E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7FC9251B"/>
    <w:multiLevelType w:val="hybridMultilevel"/>
    <w:tmpl w:val="C2421516"/>
    <w:lvl w:ilvl="0" w:tplc="0416000D">
      <w:start w:val="1"/>
      <w:numFmt w:val="bullet"/>
      <w:lvlText w:val=""/>
      <w:lvlJc w:val="left"/>
      <w:pPr>
        <w:ind w:left="720" w:hanging="360"/>
      </w:pPr>
      <w:rPr>
        <w:rFonts w:ascii="Wingdings" w:hAnsi="Wingdings" w:hint="default"/>
      </w:rPr>
    </w:lvl>
    <w:lvl w:ilvl="1" w:tplc="747EA8E2">
      <w:numFmt w:val="bullet"/>
      <w:lvlText w:val="•"/>
      <w:lvlJc w:val="left"/>
      <w:pPr>
        <w:ind w:left="1785" w:hanging="705"/>
      </w:pPr>
      <w:rPr>
        <w:rFonts w:ascii="Tahoma" w:eastAsiaTheme="minorEastAsia" w:hAnsi="Tahoma" w:cs="Tahoma"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6"/>
  </w:num>
  <w:num w:numId="2">
    <w:abstractNumId w:val="23"/>
  </w:num>
  <w:num w:numId="3">
    <w:abstractNumId w:val="15"/>
  </w:num>
  <w:num w:numId="4">
    <w:abstractNumId w:val="8"/>
  </w:num>
  <w:num w:numId="5">
    <w:abstractNumId w:val="12"/>
  </w:num>
  <w:num w:numId="6">
    <w:abstractNumId w:val="17"/>
  </w:num>
  <w:num w:numId="7">
    <w:abstractNumId w:val="9"/>
  </w:num>
  <w:num w:numId="8">
    <w:abstractNumId w:val="14"/>
  </w:num>
  <w:num w:numId="9">
    <w:abstractNumId w:val="18"/>
  </w:num>
  <w:num w:numId="10">
    <w:abstractNumId w:val="5"/>
  </w:num>
  <w:num w:numId="11">
    <w:abstractNumId w:val="11"/>
  </w:num>
  <w:num w:numId="12">
    <w:abstractNumId w:val="7"/>
  </w:num>
  <w:num w:numId="13">
    <w:abstractNumId w:val="4"/>
  </w:num>
  <w:num w:numId="14">
    <w:abstractNumId w:val="22"/>
  </w:num>
  <w:num w:numId="15">
    <w:abstractNumId w:val="1"/>
  </w:num>
  <w:num w:numId="16">
    <w:abstractNumId w:val="19"/>
  </w:num>
  <w:num w:numId="17">
    <w:abstractNumId w:val="10"/>
  </w:num>
  <w:num w:numId="18">
    <w:abstractNumId w:val="0"/>
  </w:num>
  <w:num w:numId="19">
    <w:abstractNumId w:val="3"/>
  </w:num>
  <w:num w:numId="20">
    <w:abstractNumId w:val="13"/>
  </w:num>
  <w:num w:numId="21">
    <w:abstractNumId w:val="16"/>
  </w:num>
  <w:num w:numId="22">
    <w:abstractNumId w:val="21"/>
  </w:num>
  <w:num w:numId="23">
    <w:abstractNumId w:val="2"/>
  </w:num>
  <w:num w:numId="24">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defaultTabStop w:val="709"/>
  <w:hyphenationZone w:val="425"/>
  <w:characterSpacingControl w:val="doNotCompress"/>
  <w:hdrShapeDefaults>
    <o:shapedefaults v:ext="edit" spidmax="2116"/>
  </w:hdrShapeDefaults>
  <w:footnotePr>
    <w:footnote w:id="-1"/>
    <w:footnote w:id="0"/>
  </w:footnotePr>
  <w:endnotePr>
    <w:endnote w:id="-1"/>
    <w:endnote w:id="0"/>
  </w:endnotePr>
  <w:compat>
    <w:useFELayout/>
  </w:compat>
  <w:rsids>
    <w:rsidRoot w:val="00336AA3"/>
    <w:rsid w:val="00000037"/>
    <w:rsid w:val="00003349"/>
    <w:rsid w:val="000059E4"/>
    <w:rsid w:val="00007735"/>
    <w:rsid w:val="00007A78"/>
    <w:rsid w:val="00010BE1"/>
    <w:rsid w:val="0001182B"/>
    <w:rsid w:val="00011BEB"/>
    <w:rsid w:val="00013FE2"/>
    <w:rsid w:val="000151D3"/>
    <w:rsid w:val="00015756"/>
    <w:rsid w:val="00016059"/>
    <w:rsid w:val="00017AA9"/>
    <w:rsid w:val="00020F2E"/>
    <w:rsid w:val="00021B81"/>
    <w:rsid w:val="00021FFF"/>
    <w:rsid w:val="000303D7"/>
    <w:rsid w:val="00031735"/>
    <w:rsid w:val="00032B7E"/>
    <w:rsid w:val="00033A82"/>
    <w:rsid w:val="00033A9C"/>
    <w:rsid w:val="00034D2C"/>
    <w:rsid w:val="00040275"/>
    <w:rsid w:val="00043F31"/>
    <w:rsid w:val="00047314"/>
    <w:rsid w:val="00050E36"/>
    <w:rsid w:val="00051B41"/>
    <w:rsid w:val="00054F61"/>
    <w:rsid w:val="0005510D"/>
    <w:rsid w:val="00055F30"/>
    <w:rsid w:val="00057478"/>
    <w:rsid w:val="0005750A"/>
    <w:rsid w:val="000625EE"/>
    <w:rsid w:val="00064A07"/>
    <w:rsid w:val="00066075"/>
    <w:rsid w:val="000660AB"/>
    <w:rsid w:val="00066352"/>
    <w:rsid w:val="0006761C"/>
    <w:rsid w:val="00073374"/>
    <w:rsid w:val="00075082"/>
    <w:rsid w:val="00075F37"/>
    <w:rsid w:val="0007796D"/>
    <w:rsid w:val="00085BB8"/>
    <w:rsid w:val="00086C53"/>
    <w:rsid w:val="00086ED5"/>
    <w:rsid w:val="00092B14"/>
    <w:rsid w:val="00094E55"/>
    <w:rsid w:val="000955A2"/>
    <w:rsid w:val="00095703"/>
    <w:rsid w:val="000960DB"/>
    <w:rsid w:val="000966DE"/>
    <w:rsid w:val="000973AA"/>
    <w:rsid w:val="00097442"/>
    <w:rsid w:val="000976BC"/>
    <w:rsid w:val="000A0EB8"/>
    <w:rsid w:val="000A1349"/>
    <w:rsid w:val="000A16E6"/>
    <w:rsid w:val="000A27F4"/>
    <w:rsid w:val="000A44FC"/>
    <w:rsid w:val="000A4AA5"/>
    <w:rsid w:val="000A5602"/>
    <w:rsid w:val="000A6A26"/>
    <w:rsid w:val="000A6F03"/>
    <w:rsid w:val="000A7FF7"/>
    <w:rsid w:val="000B42D6"/>
    <w:rsid w:val="000B5753"/>
    <w:rsid w:val="000B57AE"/>
    <w:rsid w:val="000B5B58"/>
    <w:rsid w:val="000B62B3"/>
    <w:rsid w:val="000B6EAF"/>
    <w:rsid w:val="000C021C"/>
    <w:rsid w:val="000C0B5D"/>
    <w:rsid w:val="000C0CA1"/>
    <w:rsid w:val="000C0D7F"/>
    <w:rsid w:val="000C445C"/>
    <w:rsid w:val="000C4F24"/>
    <w:rsid w:val="000D036B"/>
    <w:rsid w:val="000D22E0"/>
    <w:rsid w:val="000D2A5B"/>
    <w:rsid w:val="000D2D01"/>
    <w:rsid w:val="000D6497"/>
    <w:rsid w:val="000D730C"/>
    <w:rsid w:val="000E0040"/>
    <w:rsid w:val="000E119C"/>
    <w:rsid w:val="000E4BAC"/>
    <w:rsid w:val="000E5053"/>
    <w:rsid w:val="000E556D"/>
    <w:rsid w:val="000E5F86"/>
    <w:rsid w:val="000E7395"/>
    <w:rsid w:val="000E77F1"/>
    <w:rsid w:val="000E7F7A"/>
    <w:rsid w:val="000F1B26"/>
    <w:rsid w:val="000F2BFD"/>
    <w:rsid w:val="000F4629"/>
    <w:rsid w:val="000F49B2"/>
    <w:rsid w:val="000F7FA7"/>
    <w:rsid w:val="00100A20"/>
    <w:rsid w:val="0010126B"/>
    <w:rsid w:val="00101E77"/>
    <w:rsid w:val="001054E9"/>
    <w:rsid w:val="00107AFD"/>
    <w:rsid w:val="0011279C"/>
    <w:rsid w:val="00113A14"/>
    <w:rsid w:val="001156DF"/>
    <w:rsid w:val="00117A06"/>
    <w:rsid w:val="00117C27"/>
    <w:rsid w:val="00122313"/>
    <w:rsid w:val="00131BEB"/>
    <w:rsid w:val="00133032"/>
    <w:rsid w:val="001330B1"/>
    <w:rsid w:val="00134B8F"/>
    <w:rsid w:val="00135656"/>
    <w:rsid w:val="00135909"/>
    <w:rsid w:val="001364EC"/>
    <w:rsid w:val="00140EC5"/>
    <w:rsid w:val="00141E2C"/>
    <w:rsid w:val="00142717"/>
    <w:rsid w:val="00142E87"/>
    <w:rsid w:val="00144DFD"/>
    <w:rsid w:val="00145A48"/>
    <w:rsid w:val="00146852"/>
    <w:rsid w:val="00147553"/>
    <w:rsid w:val="001477C0"/>
    <w:rsid w:val="00147AD5"/>
    <w:rsid w:val="0015099D"/>
    <w:rsid w:val="001527FE"/>
    <w:rsid w:val="0015383C"/>
    <w:rsid w:val="00154B7D"/>
    <w:rsid w:val="00154EF4"/>
    <w:rsid w:val="00160EBB"/>
    <w:rsid w:val="00162171"/>
    <w:rsid w:val="00162C91"/>
    <w:rsid w:val="00166837"/>
    <w:rsid w:val="00167D80"/>
    <w:rsid w:val="00172376"/>
    <w:rsid w:val="0017250A"/>
    <w:rsid w:val="00172E4E"/>
    <w:rsid w:val="00173B64"/>
    <w:rsid w:val="00174B0E"/>
    <w:rsid w:val="0017698C"/>
    <w:rsid w:val="00177C38"/>
    <w:rsid w:val="00177FFC"/>
    <w:rsid w:val="00180805"/>
    <w:rsid w:val="001826D8"/>
    <w:rsid w:val="0019039D"/>
    <w:rsid w:val="00193587"/>
    <w:rsid w:val="00195B34"/>
    <w:rsid w:val="0019763E"/>
    <w:rsid w:val="00197818"/>
    <w:rsid w:val="001A00B6"/>
    <w:rsid w:val="001A1E58"/>
    <w:rsid w:val="001A3185"/>
    <w:rsid w:val="001A502A"/>
    <w:rsid w:val="001B171E"/>
    <w:rsid w:val="001B2D93"/>
    <w:rsid w:val="001B3073"/>
    <w:rsid w:val="001B3686"/>
    <w:rsid w:val="001B5381"/>
    <w:rsid w:val="001B6A09"/>
    <w:rsid w:val="001C0AD8"/>
    <w:rsid w:val="001C13F7"/>
    <w:rsid w:val="001C1BE3"/>
    <w:rsid w:val="001C3ECC"/>
    <w:rsid w:val="001C59E4"/>
    <w:rsid w:val="001C6B3F"/>
    <w:rsid w:val="001C7340"/>
    <w:rsid w:val="001C7D16"/>
    <w:rsid w:val="001C7D33"/>
    <w:rsid w:val="001D4FDA"/>
    <w:rsid w:val="001D78D2"/>
    <w:rsid w:val="001E1407"/>
    <w:rsid w:val="001E1996"/>
    <w:rsid w:val="001E2149"/>
    <w:rsid w:val="001E31FE"/>
    <w:rsid w:val="001E4BEB"/>
    <w:rsid w:val="001E78B7"/>
    <w:rsid w:val="001F08A1"/>
    <w:rsid w:val="001F732D"/>
    <w:rsid w:val="00200BA7"/>
    <w:rsid w:val="0020251E"/>
    <w:rsid w:val="00205B2A"/>
    <w:rsid w:val="00207861"/>
    <w:rsid w:val="002104B1"/>
    <w:rsid w:val="002118AA"/>
    <w:rsid w:val="00212243"/>
    <w:rsid w:val="002130F2"/>
    <w:rsid w:val="002151AD"/>
    <w:rsid w:val="0022055A"/>
    <w:rsid w:val="0022148D"/>
    <w:rsid w:val="002226E7"/>
    <w:rsid w:val="00222BA4"/>
    <w:rsid w:val="00223C4C"/>
    <w:rsid w:val="00227AA3"/>
    <w:rsid w:val="00230506"/>
    <w:rsid w:val="00231639"/>
    <w:rsid w:val="002326E7"/>
    <w:rsid w:val="00235B98"/>
    <w:rsid w:val="00236758"/>
    <w:rsid w:val="00236A5D"/>
    <w:rsid w:val="00236C13"/>
    <w:rsid w:val="00237A74"/>
    <w:rsid w:val="0024086B"/>
    <w:rsid w:val="00241140"/>
    <w:rsid w:val="002426F7"/>
    <w:rsid w:val="00243331"/>
    <w:rsid w:val="0024377A"/>
    <w:rsid w:val="00243BF9"/>
    <w:rsid w:val="002448C3"/>
    <w:rsid w:val="00244D39"/>
    <w:rsid w:val="00251F7D"/>
    <w:rsid w:val="002525BF"/>
    <w:rsid w:val="00253758"/>
    <w:rsid w:val="00254589"/>
    <w:rsid w:val="00255921"/>
    <w:rsid w:val="00255B99"/>
    <w:rsid w:val="00260646"/>
    <w:rsid w:val="00260F0D"/>
    <w:rsid w:val="002670EA"/>
    <w:rsid w:val="0026742C"/>
    <w:rsid w:val="00271D55"/>
    <w:rsid w:val="00272943"/>
    <w:rsid w:val="00272C0E"/>
    <w:rsid w:val="002751B3"/>
    <w:rsid w:val="0027535F"/>
    <w:rsid w:val="00275781"/>
    <w:rsid w:val="00276F64"/>
    <w:rsid w:val="002804C5"/>
    <w:rsid w:val="002814E3"/>
    <w:rsid w:val="00282841"/>
    <w:rsid w:val="00282BE4"/>
    <w:rsid w:val="002847C0"/>
    <w:rsid w:val="00284AA2"/>
    <w:rsid w:val="00284BD5"/>
    <w:rsid w:val="00285539"/>
    <w:rsid w:val="00285697"/>
    <w:rsid w:val="00285AE9"/>
    <w:rsid w:val="002900BC"/>
    <w:rsid w:val="0029090D"/>
    <w:rsid w:val="00290C76"/>
    <w:rsid w:val="002917FE"/>
    <w:rsid w:val="00292674"/>
    <w:rsid w:val="00292B80"/>
    <w:rsid w:val="00292EBB"/>
    <w:rsid w:val="00294DFF"/>
    <w:rsid w:val="002971DA"/>
    <w:rsid w:val="00297856"/>
    <w:rsid w:val="002A0670"/>
    <w:rsid w:val="002A084B"/>
    <w:rsid w:val="002A140C"/>
    <w:rsid w:val="002A20C9"/>
    <w:rsid w:val="002A48D1"/>
    <w:rsid w:val="002B0452"/>
    <w:rsid w:val="002B0A1C"/>
    <w:rsid w:val="002B2E25"/>
    <w:rsid w:val="002B3FE6"/>
    <w:rsid w:val="002B5723"/>
    <w:rsid w:val="002C2E94"/>
    <w:rsid w:val="002C4D14"/>
    <w:rsid w:val="002C6C02"/>
    <w:rsid w:val="002C74DF"/>
    <w:rsid w:val="002C782B"/>
    <w:rsid w:val="002C7C7F"/>
    <w:rsid w:val="002D02EA"/>
    <w:rsid w:val="002D28D8"/>
    <w:rsid w:val="002D2BBB"/>
    <w:rsid w:val="002D2DE1"/>
    <w:rsid w:val="002D328B"/>
    <w:rsid w:val="002D368F"/>
    <w:rsid w:val="002D5B59"/>
    <w:rsid w:val="002D6A2C"/>
    <w:rsid w:val="002D6ED3"/>
    <w:rsid w:val="002E0414"/>
    <w:rsid w:val="002E2B43"/>
    <w:rsid w:val="002E34BC"/>
    <w:rsid w:val="002E5891"/>
    <w:rsid w:val="002E755E"/>
    <w:rsid w:val="002F0916"/>
    <w:rsid w:val="002F27DB"/>
    <w:rsid w:val="002F3366"/>
    <w:rsid w:val="002F3BF9"/>
    <w:rsid w:val="002F53CE"/>
    <w:rsid w:val="002F5D79"/>
    <w:rsid w:val="002F79FD"/>
    <w:rsid w:val="002F7F97"/>
    <w:rsid w:val="0030085B"/>
    <w:rsid w:val="00300B81"/>
    <w:rsid w:val="003019AE"/>
    <w:rsid w:val="00303C92"/>
    <w:rsid w:val="00310447"/>
    <w:rsid w:val="00310C39"/>
    <w:rsid w:val="003110D7"/>
    <w:rsid w:val="00313A46"/>
    <w:rsid w:val="003152B5"/>
    <w:rsid w:val="00316869"/>
    <w:rsid w:val="00317280"/>
    <w:rsid w:val="003174AF"/>
    <w:rsid w:val="00317A51"/>
    <w:rsid w:val="0032505A"/>
    <w:rsid w:val="0032559C"/>
    <w:rsid w:val="0032603B"/>
    <w:rsid w:val="00326D08"/>
    <w:rsid w:val="00333690"/>
    <w:rsid w:val="00335F22"/>
    <w:rsid w:val="0033656D"/>
    <w:rsid w:val="00336AA3"/>
    <w:rsid w:val="00336EEA"/>
    <w:rsid w:val="0034031D"/>
    <w:rsid w:val="0034319A"/>
    <w:rsid w:val="0034322E"/>
    <w:rsid w:val="00343CBC"/>
    <w:rsid w:val="00344EA0"/>
    <w:rsid w:val="0034503B"/>
    <w:rsid w:val="0034656C"/>
    <w:rsid w:val="00346F49"/>
    <w:rsid w:val="00347939"/>
    <w:rsid w:val="00350C59"/>
    <w:rsid w:val="0035156D"/>
    <w:rsid w:val="00355383"/>
    <w:rsid w:val="00355FF4"/>
    <w:rsid w:val="00357F66"/>
    <w:rsid w:val="00363B14"/>
    <w:rsid w:val="003663FD"/>
    <w:rsid w:val="00367AFA"/>
    <w:rsid w:val="00367FD3"/>
    <w:rsid w:val="0037099B"/>
    <w:rsid w:val="00372DA8"/>
    <w:rsid w:val="00374113"/>
    <w:rsid w:val="0037442D"/>
    <w:rsid w:val="00376F61"/>
    <w:rsid w:val="00380DC9"/>
    <w:rsid w:val="00381426"/>
    <w:rsid w:val="00383A51"/>
    <w:rsid w:val="003900DF"/>
    <w:rsid w:val="0039377E"/>
    <w:rsid w:val="00395350"/>
    <w:rsid w:val="003979B5"/>
    <w:rsid w:val="003A0D68"/>
    <w:rsid w:val="003A46C3"/>
    <w:rsid w:val="003A4948"/>
    <w:rsid w:val="003A4DF8"/>
    <w:rsid w:val="003A5B4A"/>
    <w:rsid w:val="003A5F47"/>
    <w:rsid w:val="003B23CB"/>
    <w:rsid w:val="003B3510"/>
    <w:rsid w:val="003B3A18"/>
    <w:rsid w:val="003B47CB"/>
    <w:rsid w:val="003B611D"/>
    <w:rsid w:val="003B69E5"/>
    <w:rsid w:val="003B6ABE"/>
    <w:rsid w:val="003B6B9D"/>
    <w:rsid w:val="003B7C32"/>
    <w:rsid w:val="003C000C"/>
    <w:rsid w:val="003C100F"/>
    <w:rsid w:val="003C2717"/>
    <w:rsid w:val="003C3769"/>
    <w:rsid w:val="003C481E"/>
    <w:rsid w:val="003C5595"/>
    <w:rsid w:val="003C69FD"/>
    <w:rsid w:val="003D3720"/>
    <w:rsid w:val="003D61B3"/>
    <w:rsid w:val="003D61D1"/>
    <w:rsid w:val="003D6C46"/>
    <w:rsid w:val="003E25C2"/>
    <w:rsid w:val="003E49CF"/>
    <w:rsid w:val="003E5338"/>
    <w:rsid w:val="003F013F"/>
    <w:rsid w:val="003F0648"/>
    <w:rsid w:val="003F3872"/>
    <w:rsid w:val="003F4447"/>
    <w:rsid w:val="003F5C7C"/>
    <w:rsid w:val="00400679"/>
    <w:rsid w:val="004008A9"/>
    <w:rsid w:val="00400BE0"/>
    <w:rsid w:val="00400D6B"/>
    <w:rsid w:val="00401637"/>
    <w:rsid w:val="00403336"/>
    <w:rsid w:val="00404383"/>
    <w:rsid w:val="00406B8E"/>
    <w:rsid w:val="00406BE0"/>
    <w:rsid w:val="00407445"/>
    <w:rsid w:val="00410EBF"/>
    <w:rsid w:val="004113B5"/>
    <w:rsid w:val="00412938"/>
    <w:rsid w:val="00413379"/>
    <w:rsid w:val="004133A8"/>
    <w:rsid w:val="00414E7A"/>
    <w:rsid w:val="00416998"/>
    <w:rsid w:val="00421C26"/>
    <w:rsid w:val="00422F7A"/>
    <w:rsid w:val="004246D6"/>
    <w:rsid w:val="00425431"/>
    <w:rsid w:val="0042722C"/>
    <w:rsid w:val="004276F4"/>
    <w:rsid w:val="004317A1"/>
    <w:rsid w:val="00432221"/>
    <w:rsid w:val="0043487D"/>
    <w:rsid w:val="00434FD0"/>
    <w:rsid w:val="0043562C"/>
    <w:rsid w:val="004356FA"/>
    <w:rsid w:val="004361BC"/>
    <w:rsid w:val="004371D0"/>
    <w:rsid w:val="00441675"/>
    <w:rsid w:val="00442B3C"/>
    <w:rsid w:val="004437DC"/>
    <w:rsid w:val="00447F1F"/>
    <w:rsid w:val="00453F7A"/>
    <w:rsid w:val="00454F4E"/>
    <w:rsid w:val="00456C5A"/>
    <w:rsid w:val="004602FE"/>
    <w:rsid w:val="004606F5"/>
    <w:rsid w:val="00460ED4"/>
    <w:rsid w:val="00463AFC"/>
    <w:rsid w:val="00464813"/>
    <w:rsid w:val="00465C63"/>
    <w:rsid w:val="00470745"/>
    <w:rsid w:val="004715AF"/>
    <w:rsid w:val="004732C7"/>
    <w:rsid w:val="00475CDD"/>
    <w:rsid w:val="00481984"/>
    <w:rsid w:val="00481CC6"/>
    <w:rsid w:val="004820D3"/>
    <w:rsid w:val="004825C5"/>
    <w:rsid w:val="00482A84"/>
    <w:rsid w:val="004830EE"/>
    <w:rsid w:val="00485927"/>
    <w:rsid w:val="00487FC6"/>
    <w:rsid w:val="00490E53"/>
    <w:rsid w:val="004922F7"/>
    <w:rsid w:val="00492B7D"/>
    <w:rsid w:val="0049301F"/>
    <w:rsid w:val="0049303D"/>
    <w:rsid w:val="00493F25"/>
    <w:rsid w:val="00494822"/>
    <w:rsid w:val="00495040"/>
    <w:rsid w:val="00496CEC"/>
    <w:rsid w:val="004A0B25"/>
    <w:rsid w:val="004A232E"/>
    <w:rsid w:val="004A2FAB"/>
    <w:rsid w:val="004B23DC"/>
    <w:rsid w:val="004B423B"/>
    <w:rsid w:val="004B6957"/>
    <w:rsid w:val="004B7702"/>
    <w:rsid w:val="004C1B77"/>
    <w:rsid w:val="004C1BC4"/>
    <w:rsid w:val="004C3531"/>
    <w:rsid w:val="004C6CF6"/>
    <w:rsid w:val="004C7562"/>
    <w:rsid w:val="004D3798"/>
    <w:rsid w:val="004D4B19"/>
    <w:rsid w:val="004D70B5"/>
    <w:rsid w:val="004E01B9"/>
    <w:rsid w:val="004E421F"/>
    <w:rsid w:val="004E4C80"/>
    <w:rsid w:val="004F1207"/>
    <w:rsid w:val="004F27F7"/>
    <w:rsid w:val="004F2ECE"/>
    <w:rsid w:val="004F408B"/>
    <w:rsid w:val="004F5737"/>
    <w:rsid w:val="004F6785"/>
    <w:rsid w:val="004F6A0C"/>
    <w:rsid w:val="004F6BD6"/>
    <w:rsid w:val="004F6FA4"/>
    <w:rsid w:val="004F7238"/>
    <w:rsid w:val="00500468"/>
    <w:rsid w:val="005004AC"/>
    <w:rsid w:val="00502EBB"/>
    <w:rsid w:val="0050347F"/>
    <w:rsid w:val="00503543"/>
    <w:rsid w:val="00503F0C"/>
    <w:rsid w:val="00504DEF"/>
    <w:rsid w:val="00505598"/>
    <w:rsid w:val="00505908"/>
    <w:rsid w:val="00505927"/>
    <w:rsid w:val="005067B4"/>
    <w:rsid w:val="0050750A"/>
    <w:rsid w:val="005122BE"/>
    <w:rsid w:val="0051276C"/>
    <w:rsid w:val="00512E22"/>
    <w:rsid w:val="00521366"/>
    <w:rsid w:val="00523BC5"/>
    <w:rsid w:val="00524D22"/>
    <w:rsid w:val="0052501B"/>
    <w:rsid w:val="00527298"/>
    <w:rsid w:val="00530D68"/>
    <w:rsid w:val="00533232"/>
    <w:rsid w:val="00533862"/>
    <w:rsid w:val="005343AB"/>
    <w:rsid w:val="0054000D"/>
    <w:rsid w:val="00541EA8"/>
    <w:rsid w:val="005441AD"/>
    <w:rsid w:val="00546724"/>
    <w:rsid w:val="00546A6B"/>
    <w:rsid w:val="005473F0"/>
    <w:rsid w:val="00547A12"/>
    <w:rsid w:val="00553BBE"/>
    <w:rsid w:val="00554B10"/>
    <w:rsid w:val="0055721A"/>
    <w:rsid w:val="005601CD"/>
    <w:rsid w:val="00560568"/>
    <w:rsid w:val="00560717"/>
    <w:rsid w:val="00564AED"/>
    <w:rsid w:val="00564E75"/>
    <w:rsid w:val="00565CCC"/>
    <w:rsid w:val="00570073"/>
    <w:rsid w:val="00570DBA"/>
    <w:rsid w:val="005719FA"/>
    <w:rsid w:val="005731B7"/>
    <w:rsid w:val="00574701"/>
    <w:rsid w:val="005753DE"/>
    <w:rsid w:val="0057554C"/>
    <w:rsid w:val="00575E99"/>
    <w:rsid w:val="00576409"/>
    <w:rsid w:val="00583DDF"/>
    <w:rsid w:val="0059156D"/>
    <w:rsid w:val="00592455"/>
    <w:rsid w:val="00592AFB"/>
    <w:rsid w:val="0059350B"/>
    <w:rsid w:val="00593D5C"/>
    <w:rsid w:val="005A2CDA"/>
    <w:rsid w:val="005A2EEE"/>
    <w:rsid w:val="005A37B4"/>
    <w:rsid w:val="005A5B84"/>
    <w:rsid w:val="005B027E"/>
    <w:rsid w:val="005B030A"/>
    <w:rsid w:val="005B1453"/>
    <w:rsid w:val="005B35DC"/>
    <w:rsid w:val="005B5A3B"/>
    <w:rsid w:val="005B6330"/>
    <w:rsid w:val="005B6438"/>
    <w:rsid w:val="005B6BEA"/>
    <w:rsid w:val="005B782C"/>
    <w:rsid w:val="005C19FC"/>
    <w:rsid w:val="005C3293"/>
    <w:rsid w:val="005C3AF3"/>
    <w:rsid w:val="005C73B7"/>
    <w:rsid w:val="005C7BCF"/>
    <w:rsid w:val="005D10A6"/>
    <w:rsid w:val="005D14CC"/>
    <w:rsid w:val="005D2530"/>
    <w:rsid w:val="005D306C"/>
    <w:rsid w:val="005D3A43"/>
    <w:rsid w:val="005D7BBC"/>
    <w:rsid w:val="005E15CB"/>
    <w:rsid w:val="005E165F"/>
    <w:rsid w:val="005E21FD"/>
    <w:rsid w:val="005E2946"/>
    <w:rsid w:val="005E5A78"/>
    <w:rsid w:val="005E6436"/>
    <w:rsid w:val="005F07A9"/>
    <w:rsid w:val="005F2580"/>
    <w:rsid w:val="005F6F7B"/>
    <w:rsid w:val="005F7F83"/>
    <w:rsid w:val="006003B1"/>
    <w:rsid w:val="00602104"/>
    <w:rsid w:val="0060384B"/>
    <w:rsid w:val="00604F20"/>
    <w:rsid w:val="00606836"/>
    <w:rsid w:val="00606DFD"/>
    <w:rsid w:val="00611583"/>
    <w:rsid w:val="00616F1F"/>
    <w:rsid w:val="00620E75"/>
    <w:rsid w:val="00621757"/>
    <w:rsid w:val="00621CC7"/>
    <w:rsid w:val="00625A26"/>
    <w:rsid w:val="006276E7"/>
    <w:rsid w:val="0063031E"/>
    <w:rsid w:val="0063058C"/>
    <w:rsid w:val="00631048"/>
    <w:rsid w:val="00631098"/>
    <w:rsid w:val="0063310D"/>
    <w:rsid w:val="00633F58"/>
    <w:rsid w:val="00636343"/>
    <w:rsid w:val="00637C49"/>
    <w:rsid w:val="006413A4"/>
    <w:rsid w:val="00642F1E"/>
    <w:rsid w:val="00643515"/>
    <w:rsid w:val="0064433D"/>
    <w:rsid w:val="00644DBE"/>
    <w:rsid w:val="00644FED"/>
    <w:rsid w:val="00645142"/>
    <w:rsid w:val="00645716"/>
    <w:rsid w:val="00645733"/>
    <w:rsid w:val="00647E20"/>
    <w:rsid w:val="006508F8"/>
    <w:rsid w:val="00651E52"/>
    <w:rsid w:val="00651EA9"/>
    <w:rsid w:val="00652F11"/>
    <w:rsid w:val="00654099"/>
    <w:rsid w:val="006556FC"/>
    <w:rsid w:val="00655C56"/>
    <w:rsid w:val="00657451"/>
    <w:rsid w:val="00660004"/>
    <w:rsid w:val="00660FDB"/>
    <w:rsid w:val="006654A7"/>
    <w:rsid w:val="00665EDF"/>
    <w:rsid w:val="00667AF7"/>
    <w:rsid w:val="006729BC"/>
    <w:rsid w:val="006730ED"/>
    <w:rsid w:val="00673776"/>
    <w:rsid w:val="00674ECC"/>
    <w:rsid w:val="00675F1D"/>
    <w:rsid w:val="00676F05"/>
    <w:rsid w:val="00677819"/>
    <w:rsid w:val="00677B19"/>
    <w:rsid w:val="00681FB2"/>
    <w:rsid w:val="00682562"/>
    <w:rsid w:val="00683F47"/>
    <w:rsid w:val="00686500"/>
    <w:rsid w:val="00686630"/>
    <w:rsid w:val="0069101F"/>
    <w:rsid w:val="0069206E"/>
    <w:rsid w:val="00692137"/>
    <w:rsid w:val="00692336"/>
    <w:rsid w:val="00692863"/>
    <w:rsid w:val="00692F51"/>
    <w:rsid w:val="006948EC"/>
    <w:rsid w:val="00694C41"/>
    <w:rsid w:val="00694E07"/>
    <w:rsid w:val="006A03BC"/>
    <w:rsid w:val="006A3681"/>
    <w:rsid w:val="006A5569"/>
    <w:rsid w:val="006A6EB8"/>
    <w:rsid w:val="006B05CD"/>
    <w:rsid w:val="006B2240"/>
    <w:rsid w:val="006B3BE5"/>
    <w:rsid w:val="006B3E16"/>
    <w:rsid w:val="006B43AC"/>
    <w:rsid w:val="006C38E9"/>
    <w:rsid w:val="006C3FAD"/>
    <w:rsid w:val="006C3FC7"/>
    <w:rsid w:val="006C5488"/>
    <w:rsid w:val="006C54F9"/>
    <w:rsid w:val="006D2F09"/>
    <w:rsid w:val="006D5F9B"/>
    <w:rsid w:val="006D7331"/>
    <w:rsid w:val="006E059E"/>
    <w:rsid w:val="006E0701"/>
    <w:rsid w:val="006E23B8"/>
    <w:rsid w:val="006E3CE4"/>
    <w:rsid w:val="006E414F"/>
    <w:rsid w:val="006E4A22"/>
    <w:rsid w:val="006E4A87"/>
    <w:rsid w:val="006E5D9A"/>
    <w:rsid w:val="006E628E"/>
    <w:rsid w:val="006E64BF"/>
    <w:rsid w:val="006F33D5"/>
    <w:rsid w:val="006F42C2"/>
    <w:rsid w:val="006F6C5E"/>
    <w:rsid w:val="006F780A"/>
    <w:rsid w:val="006F7DAC"/>
    <w:rsid w:val="00700451"/>
    <w:rsid w:val="007027C4"/>
    <w:rsid w:val="00712B30"/>
    <w:rsid w:val="00712F36"/>
    <w:rsid w:val="00713AE0"/>
    <w:rsid w:val="00715F3A"/>
    <w:rsid w:val="007167D2"/>
    <w:rsid w:val="00717DC4"/>
    <w:rsid w:val="00723449"/>
    <w:rsid w:val="00730745"/>
    <w:rsid w:val="00730F66"/>
    <w:rsid w:val="0073368D"/>
    <w:rsid w:val="0073418D"/>
    <w:rsid w:val="00735AC4"/>
    <w:rsid w:val="00736850"/>
    <w:rsid w:val="00736BC2"/>
    <w:rsid w:val="00741B21"/>
    <w:rsid w:val="007422A1"/>
    <w:rsid w:val="00742A03"/>
    <w:rsid w:val="0074384B"/>
    <w:rsid w:val="00743C88"/>
    <w:rsid w:val="00744DFB"/>
    <w:rsid w:val="00747B2C"/>
    <w:rsid w:val="00750C64"/>
    <w:rsid w:val="0075327B"/>
    <w:rsid w:val="00755B91"/>
    <w:rsid w:val="00755BF9"/>
    <w:rsid w:val="0075754F"/>
    <w:rsid w:val="0076386C"/>
    <w:rsid w:val="00763A44"/>
    <w:rsid w:val="007654F6"/>
    <w:rsid w:val="00766F17"/>
    <w:rsid w:val="00771F7B"/>
    <w:rsid w:val="007724DC"/>
    <w:rsid w:val="007726EB"/>
    <w:rsid w:val="00774C95"/>
    <w:rsid w:val="00774E8A"/>
    <w:rsid w:val="007751FE"/>
    <w:rsid w:val="00775237"/>
    <w:rsid w:val="007768A7"/>
    <w:rsid w:val="00780240"/>
    <w:rsid w:val="00780AE7"/>
    <w:rsid w:val="00787666"/>
    <w:rsid w:val="00791B97"/>
    <w:rsid w:val="00792589"/>
    <w:rsid w:val="007930C5"/>
    <w:rsid w:val="00793359"/>
    <w:rsid w:val="007939BF"/>
    <w:rsid w:val="007939ED"/>
    <w:rsid w:val="007949D2"/>
    <w:rsid w:val="00795178"/>
    <w:rsid w:val="00795CD7"/>
    <w:rsid w:val="007964E1"/>
    <w:rsid w:val="00796A75"/>
    <w:rsid w:val="00797D06"/>
    <w:rsid w:val="007A0B11"/>
    <w:rsid w:val="007A0C8F"/>
    <w:rsid w:val="007A1EFB"/>
    <w:rsid w:val="007A372D"/>
    <w:rsid w:val="007A3992"/>
    <w:rsid w:val="007A3EAC"/>
    <w:rsid w:val="007A4CD5"/>
    <w:rsid w:val="007A4DFE"/>
    <w:rsid w:val="007A66FD"/>
    <w:rsid w:val="007A7C79"/>
    <w:rsid w:val="007B14C0"/>
    <w:rsid w:val="007B2371"/>
    <w:rsid w:val="007B2480"/>
    <w:rsid w:val="007B2526"/>
    <w:rsid w:val="007B26B9"/>
    <w:rsid w:val="007B460C"/>
    <w:rsid w:val="007B7699"/>
    <w:rsid w:val="007C01E4"/>
    <w:rsid w:val="007C05CD"/>
    <w:rsid w:val="007C1814"/>
    <w:rsid w:val="007C2169"/>
    <w:rsid w:val="007C2511"/>
    <w:rsid w:val="007C2CEA"/>
    <w:rsid w:val="007C36AD"/>
    <w:rsid w:val="007C4673"/>
    <w:rsid w:val="007C54E5"/>
    <w:rsid w:val="007C6961"/>
    <w:rsid w:val="007C7694"/>
    <w:rsid w:val="007D1868"/>
    <w:rsid w:val="007D204A"/>
    <w:rsid w:val="007D3C3D"/>
    <w:rsid w:val="007D4405"/>
    <w:rsid w:val="007D4C34"/>
    <w:rsid w:val="007D6C70"/>
    <w:rsid w:val="007D721A"/>
    <w:rsid w:val="007E1043"/>
    <w:rsid w:val="007E1128"/>
    <w:rsid w:val="007E163B"/>
    <w:rsid w:val="007E166F"/>
    <w:rsid w:val="007E1801"/>
    <w:rsid w:val="007E1FF6"/>
    <w:rsid w:val="007E77FF"/>
    <w:rsid w:val="007F0471"/>
    <w:rsid w:val="007F127A"/>
    <w:rsid w:val="007F240A"/>
    <w:rsid w:val="007F6D14"/>
    <w:rsid w:val="008003B0"/>
    <w:rsid w:val="00801158"/>
    <w:rsid w:val="008026B8"/>
    <w:rsid w:val="00803912"/>
    <w:rsid w:val="008064AE"/>
    <w:rsid w:val="0081304E"/>
    <w:rsid w:val="0081439C"/>
    <w:rsid w:val="008146C9"/>
    <w:rsid w:val="008160A1"/>
    <w:rsid w:val="00816CEC"/>
    <w:rsid w:val="00817F8B"/>
    <w:rsid w:val="008202D4"/>
    <w:rsid w:val="0082130C"/>
    <w:rsid w:val="0082555B"/>
    <w:rsid w:val="00826E0D"/>
    <w:rsid w:val="00826E22"/>
    <w:rsid w:val="00831248"/>
    <w:rsid w:val="00831843"/>
    <w:rsid w:val="00831E3E"/>
    <w:rsid w:val="00837590"/>
    <w:rsid w:val="00837939"/>
    <w:rsid w:val="008414CA"/>
    <w:rsid w:val="0084303E"/>
    <w:rsid w:val="008438A5"/>
    <w:rsid w:val="008472AB"/>
    <w:rsid w:val="008501AA"/>
    <w:rsid w:val="00853F94"/>
    <w:rsid w:val="00854245"/>
    <w:rsid w:val="00854D7E"/>
    <w:rsid w:val="008563D8"/>
    <w:rsid w:val="0086012B"/>
    <w:rsid w:val="00861B6E"/>
    <w:rsid w:val="00862354"/>
    <w:rsid w:val="00862834"/>
    <w:rsid w:val="00864E67"/>
    <w:rsid w:val="00865F2B"/>
    <w:rsid w:val="0086795C"/>
    <w:rsid w:val="0087022E"/>
    <w:rsid w:val="0087181C"/>
    <w:rsid w:val="00872FC8"/>
    <w:rsid w:val="008764A8"/>
    <w:rsid w:val="00876A03"/>
    <w:rsid w:val="00882D8E"/>
    <w:rsid w:val="00883FBF"/>
    <w:rsid w:val="0088486D"/>
    <w:rsid w:val="008873DE"/>
    <w:rsid w:val="00891784"/>
    <w:rsid w:val="00892766"/>
    <w:rsid w:val="008927BD"/>
    <w:rsid w:val="00895F4B"/>
    <w:rsid w:val="008A0143"/>
    <w:rsid w:val="008A0CDF"/>
    <w:rsid w:val="008A14BB"/>
    <w:rsid w:val="008A36EE"/>
    <w:rsid w:val="008A3C9E"/>
    <w:rsid w:val="008A6234"/>
    <w:rsid w:val="008B4F43"/>
    <w:rsid w:val="008B4F9A"/>
    <w:rsid w:val="008B520C"/>
    <w:rsid w:val="008B6BD7"/>
    <w:rsid w:val="008B708A"/>
    <w:rsid w:val="008C0910"/>
    <w:rsid w:val="008C4B57"/>
    <w:rsid w:val="008C54EE"/>
    <w:rsid w:val="008C5DB0"/>
    <w:rsid w:val="008C660E"/>
    <w:rsid w:val="008C73A3"/>
    <w:rsid w:val="008C7ADC"/>
    <w:rsid w:val="008D01E2"/>
    <w:rsid w:val="008D2C54"/>
    <w:rsid w:val="008D334A"/>
    <w:rsid w:val="008D4DDD"/>
    <w:rsid w:val="008D531B"/>
    <w:rsid w:val="008D5607"/>
    <w:rsid w:val="008D6FD9"/>
    <w:rsid w:val="008E02C9"/>
    <w:rsid w:val="008E07EB"/>
    <w:rsid w:val="008E0B10"/>
    <w:rsid w:val="008E1224"/>
    <w:rsid w:val="008E23AC"/>
    <w:rsid w:val="008E3819"/>
    <w:rsid w:val="008E51A1"/>
    <w:rsid w:val="008E522D"/>
    <w:rsid w:val="008E6171"/>
    <w:rsid w:val="008E7140"/>
    <w:rsid w:val="008F04AC"/>
    <w:rsid w:val="008F082C"/>
    <w:rsid w:val="008F250A"/>
    <w:rsid w:val="008F39AE"/>
    <w:rsid w:val="008F5EBF"/>
    <w:rsid w:val="008F6332"/>
    <w:rsid w:val="008F6D68"/>
    <w:rsid w:val="008F7A03"/>
    <w:rsid w:val="0090066E"/>
    <w:rsid w:val="009014B5"/>
    <w:rsid w:val="00901A15"/>
    <w:rsid w:val="00903965"/>
    <w:rsid w:val="00905546"/>
    <w:rsid w:val="0090577B"/>
    <w:rsid w:val="009108D8"/>
    <w:rsid w:val="00910A84"/>
    <w:rsid w:val="00910CD5"/>
    <w:rsid w:val="009116AC"/>
    <w:rsid w:val="009134DA"/>
    <w:rsid w:val="00913914"/>
    <w:rsid w:val="00913E65"/>
    <w:rsid w:val="00915AA5"/>
    <w:rsid w:val="00916671"/>
    <w:rsid w:val="00916ACB"/>
    <w:rsid w:val="00921411"/>
    <w:rsid w:val="00924FF2"/>
    <w:rsid w:val="009274B7"/>
    <w:rsid w:val="00930453"/>
    <w:rsid w:val="00932E92"/>
    <w:rsid w:val="00932F18"/>
    <w:rsid w:val="00933152"/>
    <w:rsid w:val="009338FD"/>
    <w:rsid w:val="00933D1B"/>
    <w:rsid w:val="0093513C"/>
    <w:rsid w:val="0093658B"/>
    <w:rsid w:val="009442D6"/>
    <w:rsid w:val="009447E0"/>
    <w:rsid w:val="009451DE"/>
    <w:rsid w:val="00946E73"/>
    <w:rsid w:val="00946F98"/>
    <w:rsid w:val="009474DC"/>
    <w:rsid w:val="0095090B"/>
    <w:rsid w:val="00950DE0"/>
    <w:rsid w:val="009512B4"/>
    <w:rsid w:val="00952DEB"/>
    <w:rsid w:val="0095380A"/>
    <w:rsid w:val="0095399B"/>
    <w:rsid w:val="00954DD6"/>
    <w:rsid w:val="009578E8"/>
    <w:rsid w:val="0096211B"/>
    <w:rsid w:val="00963442"/>
    <w:rsid w:val="00963C90"/>
    <w:rsid w:val="00964F61"/>
    <w:rsid w:val="009651F4"/>
    <w:rsid w:val="00966449"/>
    <w:rsid w:val="00966DAD"/>
    <w:rsid w:val="00970F88"/>
    <w:rsid w:val="0097111F"/>
    <w:rsid w:val="00971BEF"/>
    <w:rsid w:val="00972273"/>
    <w:rsid w:val="00973D1C"/>
    <w:rsid w:val="009743E4"/>
    <w:rsid w:val="00975B16"/>
    <w:rsid w:val="0097746D"/>
    <w:rsid w:val="0097794B"/>
    <w:rsid w:val="00977C2A"/>
    <w:rsid w:val="0098454A"/>
    <w:rsid w:val="00990FE6"/>
    <w:rsid w:val="009911C8"/>
    <w:rsid w:val="0099256D"/>
    <w:rsid w:val="00992E63"/>
    <w:rsid w:val="00993774"/>
    <w:rsid w:val="009977F7"/>
    <w:rsid w:val="009A2722"/>
    <w:rsid w:val="009A63AF"/>
    <w:rsid w:val="009A70CF"/>
    <w:rsid w:val="009A7387"/>
    <w:rsid w:val="009B0408"/>
    <w:rsid w:val="009B77D0"/>
    <w:rsid w:val="009C00C5"/>
    <w:rsid w:val="009C059D"/>
    <w:rsid w:val="009C0FCA"/>
    <w:rsid w:val="009C0FD5"/>
    <w:rsid w:val="009C28AD"/>
    <w:rsid w:val="009C2ECA"/>
    <w:rsid w:val="009C48E9"/>
    <w:rsid w:val="009C5847"/>
    <w:rsid w:val="009C788D"/>
    <w:rsid w:val="009D0C5A"/>
    <w:rsid w:val="009D10EB"/>
    <w:rsid w:val="009D4AD2"/>
    <w:rsid w:val="009D50F9"/>
    <w:rsid w:val="009D585F"/>
    <w:rsid w:val="009D6926"/>
    <w:rsid w:val="009D6A21"/>
    <w:rsid w:val="009D786E"/>
    <w:rsid w:val="009E464F"/>
    <w:rsid w:val="009E4ED3"/>
    <w:rsid w:val="009E6A40"/>
    <w:rsid w:val="009E6F7D"/>
    <w:rsid w:val="009E7FEC"/>
    <w:rsid w:val="009F2D42"/>
    <w:rsid w:val="009F4099"/>
    <w:rsid w:val="009F7095"/>
    <w:rsid w:val="00A0016D"/>
    <w:rsid w:val="00A007A1"/>
    <w:rsid w:val="00A02F34"/>
    <w:rsid w:val="00A03473"/>
    <w:rsid w:val="00A05966"/>
    <w:rsid w:val="00A11335"/>
    <w:rsid w:val="00A141DA"/>
    <w:rsid w:val="00A14EC9"/>
    <w:rsid w:val="00A17DB5"/>
    <w:rsid w:val="00A25F41"/>
    <w:rsid w:val="00A26405"/>
    <w:rsid w:val="00A27544"/>
    <w:rsid w:val="00A30B23"/>
    <w:rsid w:val="00A3106D"/>
    <w:rsid w:val="00A358CF"/>
    <w:rsid w:val="00A35A96"/>
    <w:rsid w:val="00A37C10"/>
    <w:rsid w:val="00A4368B"/>
    <w:rsid w:val="00A437C6"/>
    <w:rsid w:val="00A43CCE"/>
    <w:rsid w:val="00A43E19"/>
    <w:rsid w:val="00A44320"/>
    <w:rsid w:val="00A443A6"/>
    <w:rsid w:val="00A45335"/>
    <w:rsid w:val="00A46A89"/>
    <w:rsid w:val="00A47B96"/>
    <w:rsid w:val="00A505DA"/>
    <w:rsid w:val="00A50E9C"/>
    <w:rsid w:val="00A51C0B"/>
    <w:rsid w:val="00A54725"/>
    <w:rsid w:val="00A551D1"/>
    <w:rsid w:val="00A5604A"/>
    <w:rsid w:val="00A5616A"/>
    <w:rsid w:val="00A56B71"/>
    <w:rsid w:val="00A56DE8"/>
    <w:rsid w:val="00A56FE8"/>
    <w:rsid w:val="00A57315"/>
    <w:rsid w:val="00A5752F"/>
    <w:rsid w:val="00A62BC2"/>
    <w:rsid w:val="00A62EE9"/>
    <w:rsid w:val="00A63C41"/>
    <w:rsid w:val="00A6500B"/>
    <w:rsid w:val="00A6620E"/>
    <w:rsid w:val="00A670DA"/>
    <w:rsid w:val="00A71D96"/>
    <w:rsid w:val="00A721A5"/>
    <w:rsid w:val="00A74DF2"/>
    <w:rsid w:val="00A75973"/>
    <w:rsid w:val="00A75E13"/>
    <w:rsid w:val="00A77F06"/>
    <w:rsid w:val="00A815C0"/>
    <w:rsid w:val="00A819C8"/>
    <w:rsid w:val="00A82717"/>
    <w:rsid w:val="00A828BC"/>
    <w:rsid w:val="00A863DD"/>
    <w:rsid w:val="00A87C20"/>
    <w:rsid w:val="00A87FCF"/>
    <w:rsid w:val="00A90290"/>
    <w:rsid w:val="00A906A4"/>
    <w:rsid w:val="00A90935"/>
    <w:rsid w:val="00A912F0"/>
    <w:rsid w:val="00A928D2"/>
    <w:rsid w:val="00A93A5B"/>
    <w:rsid w:val="00A97792"/>
    <w:rsid w:val="00A97BD2"/>
    <w:rsid w:val="00AA038E"/>
    <w:rsid w:val="00AA328E"/>
    <w:rsid w:val="00AA4546"/>
    <w:rsid w:val="00AA67B5"/>
    <w:rsid w:val="00AA6937"/>
    <w:rsid w:val="00AA7A53"/>
    <w:rsid w:val="00AB26FB"/>
    <w:rsid w:val="00AB7136"/>
    <w:rsid w:val="00AC1398"/>
    <w:rsid w:val="00AC1722"/>
    <w:rsid w:val="00AC2050"/>
    <w:rsid w:val="00AD12FB"/>
    <w:rsid w:val="00AD2D17"/>
    <w:rsid w:val="00AD4FB6"/>
    <w:rsid w:val="00AD64A6"/>
    <w:rsid w:val="00AD78F2"/>
    <w:rsid w:val="00AE2F86"/>
    <w:rsid w:val="00AE660D"/>
    <w:rsid w:val="00AF0D2F"/>
    <w:rsid w:val="00AF387E"/>
    <w:rsid w:val="00AF3B64"/>
    <w:rsid w:val="00AF5F9E"/>
    <w:rsid w:val="00B0210F"/>
    <w:rsid w:val="00B0292B"/>
    <w:rsid w:val="00B02BC4"/>
    <w:rsid w:val="00B03B04"/>
    <w:rsid w:val="00B06F01"/>
    <w:rsid w:val="00B1069C"/>
    <w:rsid w:val="00B10C74"/>
    <w:rsid w:val="00B10E5E"/>
    <w:rsid w:val="00B11599"/>
    <w:rsid w:val="00B11A66"/>
    <w:rsid w:val="00B145C3"/>
    <w:rsid w:val="00B21949"/>
    <w:rsid w:val="00B230B5"/>
    <w:rsid w:val="00B24187"/>
    <w:rsid w:val="00B24E74"/>
    <w:rsid w:val="00B25BB6"/>
    <w:rsid w:val="00B25BC0"/>
    <w:rsid w:val="00B25C6C"/>
    <w:rsid w:val="00B263A4"/>
    <w:rsid w:val="00B316FD"/>
    <w:rsid w:val="00B33835"/>
    <w:rsid w:val="00B36935"/>
    <w:rsid w:val="00B40F17"/>
    <w:rsid w:val="00B41645"/>
    <w:rsid w:val="00B43CE4"/>
    <w:rsid w:val="00B43DB8"/>
    <w:rsid w:val="00B447A2"/>
    <w:rsid w:val="00B46C29"/>
    <w:rsid w:val="00B50C5E"/>
    <w:rsid w:val="00B51440"/>
    <w:rsid w:val="00B5162C"/>
    <w:rsid w:val="00B54641"/>
    <w:rsid w:val="00B55275"/>
    <w:rsid w:val="00B5567D"/>
    <w:rsid w:val="00B574D6"/>
    <w:rsid w:val="00B57AFC"/>
    <w:rsid w:val="00B608E8"/>
    <w:rsid w:val="00B62652"/>
    <w:rsid w:val="00B64755"/>
    <w:rsid w:val="00B66742"/>
    <w:rsid w:val="00B66B78"/>
    <w:rsid w:val="00B66D23"/>
    <w:rsid w:val="00B70A8D"/>
    <w:rsid w:val="00B72AF3"/>
    <w:rsid w:val="00B732FC"/>
    <w:rsid w:val="00B733B1"/>
    <w:rsid w:val="00B74268"/>
    <w:rsid w:val="00B778C5"/>
    <w:rsid w:val="00B8033D"/>
    <w:rsid w:val="00B80551"/>
    <w:rsid w:val="00B80635"/>
    <w:rsid w:val="00B818DA"/>
    <w:rsid w:val="00B81B3D"/>
    <w:rsid w:val="00B82981"/>
    <w:rsid w:val="00B84FAF"/>
    <w:rsid w:val="00B91AA7"/>
    <w:rsid w:val="00B93743"/>
    <w:rsid w:val="00B943AF"/>
    <w:rsid w:val="00B95F9D"/>
    <w:rsid w:val="00B96866"/>
    <w:rsid w:val="00BA0D30"/>
    <w:rsid w:val="00BA128C"/>
    <w:rsid w:val="00BA1BFA"/>
    <w:rsid w:val="00BA3E61"/>
    <w:rsid w:val="00BA470D"/>
    <w:rsid w:val="00BA539F"/>
    <w:rsid w:val="00BB130F"/>
    <w:rsid w:val="00BB3ABA"/>
    <w:rsid w:val="00BB6626"/>
    <w:rsid w:val="00BC1112"/>
    <w:rsid w:val="00BC3DE6"/>
    <w:rsid w:val="00BC3E1F"/>
    <w:rsid w:val="00BC4DDC"/>
    <w:rsid w:val="00BC4F2B"/>
    <w:rsid w:val="00BC65D0"/>
    <w:rsid w:val="00BC7F77"/>
    <w:rsid w:val="00BD0726"/>
    <w:rsid w:val="00BD1085"/>
    <w:rsid w:val="00BD2C41"/>
    <w:rsid w:val="00BD53E4"/>
    <w:rsid w:val="00BD7D46"/>
    <w:rsid w:val="00BE11F8"/>
    <w:rsid w:val="00BE14AE"/>
    <w:rsid w:val="00BE1D97"/>
    <w:rsid w:val="00BE2837"/>
    <w:rsid w:val="00BE3AAE"/>
    <w:rsid w:val="00BE5C5D"/>
    <w:rsid w:val="00BE65D2"/>
    <w:rsid w:val="00BE6FCD"/>
    <w:rsid w:val="00BF33F2"/>
    <w:rsid w:val="00BF5BF7"/>
    <w:rsid w:val="00C01C06"/>
    <w:rsid w:val="00C02B34"/>
    <w:rsid w:val="00C02E24"/>
    <w:rsid w:val="00C05363"/>
    <w:rsid w:val="00C05888"/>
    <w:rsid w:val="00C05A79"/>
    <w:rsid w:val="00C07632"/>
    <w:rsid w:val="00C10C9D"/>
    <w:rsid w:val="00C147F9"/>
    <w:rsid w:val="00C21909"/>
    <w:rsid w:val="00C258DF"/>
    <w:rsid w:val="00C26309"/>
    <w:rsid w:val="00C31EB8"/>
    <w:rsid w:val="00C33115"/>
    <w:rsid w:val="00C35223"/>
    <w:rsid w:val="00C35278"/>
    <w:rsid w:val="00C36AD7"/>
    <w:rsid w:val="00C406AA"/>
    <w:rsid w:val="00C425B4"/>
    <w:rsid w:val="00C43B0E"/>
    <w:rsid w:val="00C44074"/>
    <w:rsid w:val="00C44536"/>
    <w:rsid w:val="00C44DB8"/>
    <w:rsid w:val="00C45917"/>
    <w:rsid w:val="00C50758"/>
    <w:rsid w:val="00C5114A"/>
    <w:rsid w:val="00C51D59"/>
    <w:rsid w:val="00C54912"/>
    <w:rsid w:val="00C60A56"/>
    <w:rsid w:val="00C6516D"/>
    <w:rsid w:val="00C677DC"/>
    <w:rsid w:val="00C714A2"/>
    <w:rsid w:val="00C7336B"/>
    <w:rsid w:val="00C73485"/>
    <w:rsid w:val="00C76CBB"/>
    <w:rsid w:val="00C7775A"/>
    <w:rsid w:val="00C8052C"/>
    <w:rsid w:val="00C80591"/>
    <w:rsid w:val="00C8355A"/>
    <w:rsid w:val="00C8374A"/>
    <w:rsid w:val="00C83D54"/>
    <w:rsid w:val="00C85588"/>
    <w:rsid w:val="00C85C34"/>
    <w:rsid w:val="00C87EB5"/>
    <w:rsid w:val="00C90306"/>
    <w:rsid w:val="00C91C5C"/>
    <w:rsid w:val="00C93CD8"/>
    <w:rsid w:val="00C97A28"/>
    <w:rsid w:val="00CA2B05"/>
    <w:rsid w:val="00CA2EB4"/>
    <w:rsid w:val="00CA3FB6"/>
    <w:rsid w:val="00CA67F4"/>
    <w:rsid w:val="00CA78F6"/>
    <w:rsid w:val="00CB03D4"/>
    <w:rsid w:val="00CB11AF"/>
    <w:rsid w:val="00CB24A0"/>
    <w:rsid w:val="00CB26E0"/>
    <w:rsid w:val="00CB4606"/>
    <w:rsid w:val="00CB54C1"/>
    <w:rsid w:val="00CB79F1"/>
    <w:rsid w:val="00CC0E8C"/>
    <w:rsid w:val="00CC46E4"/>
    <w:rsid w:val="00CC55C0"/>
    <w:rsid w:val="00CC5C5B"/>
    <w:rsid w:val="00CC6B45"/>
    <w:rsid w:val="00CC7545"/>
    <w:rsid w:val="00CC7711"/>
    <w:rsid w:val="00CD149C"/>
    <w:rsid w:val="00CD3F2B"/>
    <w:rsid w:val="00CD5D70"/>
    <w:rsid w:val="00CD6295"/>
    <w:rsid w:val="00CD6F57"/>
    <w:rsid w:val="00CE3AAC"/>
    <w:rsid w:val="00CE5781"/>
    <w:rsid w:val="00CF066F"/>
    <w:rsid w:val="00CF2EDE"/>
    <w:rsid w:val="00CF6444"/>
    <w:rsid w:val="00D02633"/>
    <w:rsid w:val="00D02AFB"/>
    <w:rsid w:val="00D0382A"/>
    <w:rsid w:val="00D0528B"/>
    <w:rsid w:val="00D05C79"/>
    <w:rsid w:val="00D06D21"/>
    <w:rsid w:val="00D100E7"/>
    <w:rsid w:val="00D1268C"/>
    <w:rsid w:val="00D13155"/>
    <w:rsid w:val="00D149FA"/>
    <w:rsid w:val="00D14C50"/>
    <w:rsid w:val="00D15E56"/>
    <w:rsid w:val="00D16B95"/>
    <w:rsid w:val="00D17F5E"/>
    <w:rsid w:val="00D20E62"/>
    <w:rsid w:val="00D24B0C"/>
    <w:rsid w:val="00D2515A"/>
    <w:rsid w:val="00D253FE"/>
    <w:rsid w:val="00D25B74"/>
    <w:rsid w:val="00D269B4"/>
    <w:rsid w:val="00D27271"/>
    <w:rsid w:val="00D27C87"/>
    <w:rsid w:val="00D27E32"/>
    <w:rsid w:val="00D27FD0"/>
    <w:rsid w:val="00D31186"/>
    <w:rsid w:val="00D31577"/>
    <w:rsid w:val="00D31DED"/>
    <w:rsid w:val="00D3411C"/>
    <w:rsid w:val="00D343EB"/>
    <w:rsid w:val="00D34ACF"/>
    <w:rsid w:val="00D378D2"/>
    <w:rsid w:val="00D37D20"/>
    <w:rsid w:val="00D43926"/>
    <w:rsid w:val="00D44E5F"/>
    <w:rsid w:val="00D45A20"/>
    <w:rsid w:val="00D45C37"/>
    <w:rsid w:val="00D476F5"/>
    <w:rsid w:val="00D50FC1"/>
    <w:rsid w:val="00D533C5"/>
    <w:rsid w:val="00D544F9"/>
    <w:rsid w:val="00D54B87"/>
    <w:rsid w:val="00D55C76"/>
    <w:rsid w:val="00D57CDD"/>
    <w:rsid w:val="00D62A7E"/>
    <w:rsid w:val="00D62F9B"/>
    <w:rsid w:val="00D63B08"/>
    <w:rsid w:val="00D65B8F"/>
    <w:rsid w:val="00D65F5A"/>
    <w:rsid w:val="00D67914"/>
    <w:rsid w:val="00D71982"/>
    <w:rsid w:val="00D7362E"/>
    <w:rsid w:val="00D76456"/>
    <w:rsid w:val="00D76CBF"/>
    <w:rsid w:val="00D7781C"/>
    <w:rsid w:val="00D77DB1"/>
    <w:rsid w:val="00D77F85"/>
    <w:rsid w:val="00D80017"/>
    <w:rsid w:val="00D81FFF"/>
    <w:rsid w:val="00D85BED"/>
    <w:rsid w:val="00D867EC"/>
    <w:rsid w:val="00D87192"/>
    <w:rsid w:val="00D87861"/>
    <w:rsid w:val="00D87AB6"/>
    <w:rsid w:val="00D93366"/>
    <w:rsid w:val="00D93A67"/>
    <w:rsid w:val="00D96F3F"/>
    <w:rsid w:val="00D97F6F"/>
    <w:rsid w:val="00DA27EB"/>
    <w:rsid w:val="00DA467C"/>
    <w:rsid w:val="00DA493B"/>
    <w:rsid w:val="00DA5AD2"/>
    <w:rsid w:val="00DA7372"/>
    <w:rsid w:val="00DB040A"/>
    <w:rsid w:val="00DB2570"/>
    <w:rsid w:val="00DB37FC"/>
    <w:rsid w:val="00DB63B0"/>
    <w:rsid w:val="00DC186E"/>
    <w:rsid w:val="00DC6ED3"/>
    <w:rsid w:val="00DD0029"/>
    <w:rsid w:val="00DD3473"/>
    <w:rsid w:val="00DD42F3"/>
    <w:rsid w:val="00DD4666"/>
    <w:rsid w:val="00DD7D21"/>
    <w:rsid w:val="00DE16C2"/>
    <w:rsid w:val="00DE2BF3"/>
    <w:rsid w:val="00DE5AB6"/>
    <w:rsid w:val="00DE7D32"/>
    <w:rsid w:val="00DF146F"/>
    <w:rsid w:val="00DF18BC"/>
    <w:rsid w:val="00DF1B41"/>
    <w:rsid w:val="00DF28AF"/>
    <w:rsid w:val="00DF36E6"/>
    <w:rsid w:val="00DF3F98"/>
    <w:rsid w:val="00DF4FF1"/>
    <w:rsid w:val="00DF7D55"/>
    <w:rsid w:val="00E0002B"/>
    <w:rsid w:val="00E01091"/>
    <w:rsid w:val="00E029DE"/>
    <w:rsid w:val="00E031D1"/>
    <w:rsid w:val="00E03567"/>
    <w:rsid w:val="00E04A65"/>
    <w:rsid w:val="00E0619A"/>
    <w:rsid w:val="00E06C04"/>
    <w:rsid w:val="00E113C8"/>
    <w:rsid w:val="00E12522"/>
    <w:rsid w:val="00E16339"/>
    <w:rsid w:val="00E168FF"/>
    <w:rsid w:val="00E16EDA"/>
    <w:rsid w:val="00E1790F"/>
    <w:rsid w:val="00E201C5"/>
    <w:rsid w:val="00E20638"/>
    <w:rsid w:val="00E20929"/>
    <w:rsid w:val="00E20C80"/>
    <w:rsid w:val="00E23CC0"/>
    <w:rsid w:val="00E24799"/>
    <w:rsid w:val="00E25860"/>
    <w:rsid w:val="00E26AA2"/>
    <w:rsid w:val="00E27749"/>
    <w:rsid w:val="00E27A72"/>
    <w:rsid w:val="00E35254"/>
    <w:rsid w:val="00E35291"/>
    <w:rsid w:val="00E36FFC"/>
    <w:rsid w:val="00E3752E"/>
    <w:rsid w:val="00E45B7B"/>
    <w:rsid w:val="00E45BF2"/>
    <w:rsid w:val="00E461B3"/>
    <w:rsid w:val="00E4782B"/>
    <w:rsid w:val="00E503E6"/>
    <w:rsid w:val="00E517E6"/>
    <w:rsid w:val="00E5274E"/>
    <w:rsid w:val="00E54A9B"/>
    <w:rsid w:val="00E54C16"/>
    <w:rsid w:val="00E55D59"/>
    <w:rsid w:val="00E56ECC"/>
    <w:rsid w:val="00E6120D"/>
    <w:rsid w:val="00E64D46"/>
    <w:rsid w:val="00E65890"/>
    <w:rsid w:val="00E66D20"/>
    <w:rsid w:val="00E67CDC"/>
    <w:rsid w:val="00E70023"/>
    <w:rsid w:val="00E71262"/>
    <w:rsid w:val="00E71E22"/>
    <w:rsid w:val="00E72D42"/>
    <w:rsid w:val="00E735BC"/>
    <w:rsid w:val="00E75DEA"/>
    <w:rsid w:val="00E76A58"/>
    <w:rsid w:val="00E770F3"/>
    <w:rsid w:val="00E777FE"/>
    <w:rsid w:val="00E80C54"/>
    <w:rsid w:val="00E84850"/>
    <w:rsid w:val="00E8569F"/>
    <w:rsid w:val="00E8601E"/>
    <w:rsid w:val="00E876E6"/>
    <w:rsid w:val="00E87D5D"/>
    <w:rsid w:val="00E90EBA"/>
    <w:rsid w:val="00E91CE2"/>
    <w:rsid w:val="00E957A0"/>
    <w:rsid w:val="00E9673F"/>
    <w:rsid w:val="00E97D9E"/>
    <w:rsid w:val="00EA0EBB"/>
    <w:rsid w:val="00EA2DDB"/>
    <w:rsid w:val="00EA597B"/>
    <w:rsid w:val="00EA7EB6"/>
    <w:rsid w:val="00EB064D"/>
    <w:rsid w:val="00EB0736"/>
    <w:rsid w:val="00EB082D"/>
    <w:rsid w:val="00EB093F"/>
    <w:rsid w:val="00EB4EEE"/>
    <w:rsid w:val="00EB51B5"/>
    <w:rsid w:val="00EB5A51"/>
    <w:rsid w:val="00EB5C0D"/>
    <w:rsid w:val="00EC09AA"/>
    <w:rsid w:val="00EC1063"/>
    <w:rsid w:val="00EC25E7"/>
    <w:rsid w:val="00EC57BA"/>
    <w:rsid w:val="00EC5FD6"/>
    <w:rsid w:val="00EC6188"/>
    <w:rsid w:val="00EC6390"/>
    <w:rsid w:val="00ED1DD4"/>
    <w:rsid w:val="00ED35E9"/>
    <w:rsid w:val="00ED67E0"/>
    <w:rsid w:val="00ED7D79"/>
    <w:rsid w:val="00EE4C85"/>
    <w:rsid w:val="00EE756C"/>
    <w:rsid w:val="00EE787D"/>
    <w:rsid w:val="00EF176B"/>
    <w:rsid w:val="00EF1E48"/>
    <w:rsid w:val="00EF355D"/>
    <w:rsid w:val="00EF478B"/>
    <w:rsid w:val="00EF6719"/>
    <w:rsid w:val="00F01950"/>
    <w:rsid w:val="00F01B21"/>
    <w:rsid w:val="00F023CA"/>
    <w:rsid w:val="00F04938"/>
    <w:rsid w:val="00F051E7"/>
    <w:rsid w:val="00F05CFC"/>
    <w:rsid w:val="00F07D80"/>
    <w:rsid w:val="00F10EC0"/>
    <w:rsid w:val="00F11F85"/>
    <w:rsid w:val="00F12C50"/>
    <w:rsid w:val="00F131D4"/>
    <w:rsid w:val="00F13E5C"/>
    <w:rsid w:val="00F14106"/>
    <w:rsid w:val="00F152F8"/>
    <w:rsid w:val="00F1652C"/>
    <w:rsid w:val="00F200DD"/>
    <w:rsid w:val="00F219A0"/>
    <w:rsid w:val="00F22B9A"/>
    <w:rsid w:val="00F23B5E"/>
    <w:rsid w:val="00F244A0"/>
    <w:rsid w:val="00F244D1"/>
    <w:rsid w:val="00F25D27"/>
    <w:rsid w:val="00F2686A"/>
    <w:rsid w:val="00F26F4C"/>
    <w:rsid w:val="00F30105"/>
    <w:rsid w:val="00F30CC1"/>
    <w:rsid w:val="00F30DA3"/>
    <w:rsid w:val="00F352B4"/>
    <w:rsid w:val="00F35E46"/>
    <w:rsid w:val="00F36301"/>
    <w:rsid w:val="00F373C2"/>
    <w:rsid w:val="00F440C7"/>
    <w:rsid w:val="00F44BAD"/>
    <w:rsid w:val="00F4598B"/>
    <w:rsid w:val="00F47D39"/>
    <w:rsid w:val="00F504E7"/>
    <w:rsid w:val="00F50A1C"/>
    <w:rsid w:val="00F53C5D"/>
    <w:rsid w:val="00F54C3C"/>
    <w:rsid w:val="00F56239"/>
    <w:rsid w:val="00F60DA9"/>
    <w:rsid w:val="00F62F1E"/>
    <w:rsid w:val="00F639DB"/>
    <w:rsid w:val="00F64E8B"/>
    <w:rsid w:val="00F67287"/>
    <w:rsid w:val="00F67F3C"/>
    <w:rsid w:val="00F709A8"/>
    <w:rsid w:val="00F71564"/>
    <w:rsid w:val="00F7190C"/>
    <w:rsid w:val="00F71F37"/>
    <w:rsid w:val="00F73F95"/>
    <w:rsid w:val="00F753BA"/>
    <w:rsid w:val="00F76AE0"/>
    <w:rsid w:val="00F774F7"/>
    <w:rsid w:val="00F778A5"/>
    <w:rsid w:val="00F80BAC"/>
    <w:rsid w:val="00F80CDA"/>
    <w:rsid w:val="00F8201C"/>
    <w:rsid w:val="00F8325A"/>
    <w:rsid w:val="00F8465C"/>
    <w:rsid w:val="00F84AF7"/>
    <w:rsid w:val="00F87A99"/>
    <w:rsid w:val="00F908FD"/>
    <w:rsid w:val="00F90E89"/>
    <w:rsid w:val="00F918BC"/>
    <w:rsid w:val="00F91AD1"/>
    <w:rsid w:val="00F93556"/>
    <w:rsid w:val="00F9367B"/>
    <w:rsid w:val="00F939EC"/>
    <w:rsid w:val="00F93F8D"/>
    <w:rsid w:val="00F9440D"/>
    <w:rsid w:val="00F96C9F"/>
    <w:rsid w:val="00FA47F3"/>
    <w:rsid w:val="00FA4BC5"/>
    <w:rsid w:val="00FA50ED"/>
    <w:rsid w:val="00FB214C"/>
    <w:rsid w:val="00FB3C2A"/>
    <w:rsid w:val="00FB5486"/>
    <w:rsid w:val="00FC06E5"/>
    <w:rsid w:val="00FC345B"/>
    <w:rsid w:val="00FC4C88"/>
    <w:rsid w:val="00FC4DFA"/>
    <w:rsid w:val="00FC6916"/>
    <w:rsid w:val="00FC6F8F"/>
    <w:rsid w:val="00FD137B"/>
    <w:rsid w:val="00FD2567"/>
    <w:rsid w:val="00FD3DB7"/>
    <w:rsid w:val="00FD61DE"/>
    <w:rsid w:val="00FD65DC"/>
    <w:rsid w:val="00FD6D47"/>
    <w:rsid w:val="00FE044C"/>
    <w:rsid w:val="00FE1185"/>
    <w:rsid w:val="00FE132C"/>
    <w:rsid w:val="00FE43DB"/>
    <w:rsid w:val="00FE70D1"/>
    <w:rsid w:val="00FF2E99"/>
    <w:rsid w:val="00FF32BC"/>
    <w:rsid w:val="00FF3C88"/>
    <w:rsid w:val="00FF57B2"/>
    <w:rsid w:val="00FF7D8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16"/>
    <o:shapelayout v:ext="edit">
      <o:idmap v:ext="edit" data="2"/>
      <o:rules v:ext="edit">
        <o:r id="V:Rule1" type="connector" idref="#AutoShape 8"/>
        <o:r id="V:Rule2" type="connector" idref="#AutoShape 7"/>
        <o:r id="V:Rule3" type="connector" idref="#Conector de Seta Reta 1"/>
        <o:r id="V:Rule4" type="connector" idref="#_x0000_s2074"/>
        <o:r id="V:Rule5" type="connector" idref="#Conector de Seta Reta 3"/>
        <o:r id="V:Rule6" type="connector" idref="#Conector de Seta Reta 1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86B"/>
  </w:style>
  <w:style w:type="paragraph" w:styleId="Ttulo1">
    <w:name w:val="heading 1"/>
    <w:basedOn w:val="Normal"/>
    <w:next w:val="Normal"/>
    <w:link w:val="Ttulo1Char"/>
    <w:uiPriority w:val="9"/>
    <w:qFormat/>
    <w:rsid w:val="00310447"/>
    <w:pPr>
      <w:spacing w:after="120"/>
      <w:jc w:val="both"/>
      <w:outlineLvl w:val="0"/>
    </w:pPr>
    <w:rPr>
      <w:rFonts w:ascii="Tahoma" w:hAnsi="Tahoma" w:cs="Tahoma"/>
      <w:b/>
      <w:color w:val="002060"/>
      <w:sz w:val="24"/>
      <w:szCs w:val="24"/>
    </w:rPr>
  </w:style>
  <w:style w:type="paragraph" w:styleId="Ttulo2">
    <w:name w:val="heading 2"/>
    <w:basedOn w:val="Normal"/>
    <w:next w:val="Normal"/>
    <w:link w:val="Ttulo2Char"/>
    <w:uiPriority w:val="9"/>
    <w:unhideWhenUsed/>
    <w:qFormat/>
    <w:rsid w:val="00F440C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2B3FE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336AA3"/>
    <w:pPr>
      <w:ind w:left="720"/>
      <w:contextualSpacing/>
    </w:pPr>
  </w:style>
  <w:style w:type="paragraph" w:styleId="Cabealho">
    <w:name w:val="header"/>
    <w:basedOn w:val="Normal"/>
    <w:link w:val="CabealhoChar"/>
    <w:uiPriority w:val="99"/>
    <w:unhideWhenUsed/>
    <w:rsid w:val="00D8719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87192"/>
  </w:style>
  <w:style w:type="paragraph" w:styleId="Rodap">
    <w:name w:val="footer"/>
    <w:basedOn w:val="Normal"/>
    <w:link w:val="RodapChar"/>
    <w:uiPriority w:val="99"/>
    <w:unhideWhenUsed/>
    <w:rsid w:val="00D87192"/>
    <w:pPr>
      <w:tabs>
        <w:tab w:val="center" w:pos="4252"/>
        <w:tab w:val="right" w:pos="8504"/>
      </w:tabs>
      <w:spacing w:after="0" w:line="240" w:lineRule="auto"/>
    </w:pPr>
  </w:style>
  <w:style w:type="character" w:customStyle="1" w:styleId="RodapChar">
    <w:name w:val="Rodapé Char"/>
    <w:basedOn w:val="Fontepargpadro"/>
    <w:link w:val="Rodap"/>
    <w:uiPriority w:val="99"/>
    <w:rsid w:val="00D87192"/>
  </w:style>
  <w:style w:type="paragraph" w:styleId="Sumrio1">
    <w:name w:val="toc 1"/>
    <w:basedOn w:val="Normal"/>
    <w:next w:val="Normal"/>
    <w:autoRedefine/>
    <w:uiPriority w:val="39"/>
    <w:unhideWhenUsed/>
    <w:rsid w:val="00BC65D0"/>
    <w:pPr>
      <w:spacing w:before="120" w:after="120"/>
    </w:pPr>
    <w:rPr>
      <w:b/>
      <w:bCs/>
      <w:caps/>
      <w:sz w:val="20"/>
      <w:szCs w:val="20"/>
    </w:rPr>
  </w:style>
  <w:style w:type="character" w:styleId="Hyperlink">
    <w:name w:val="Hyperlink"/>
    <w:basedOn w:val="Fontepargpadro"/>
    <w:uiPriority w:val="99"/>
    <w:unhideWhenUsed/>
    <w:rsid w:val="001826D8"/>
    <w:rPr>
      <w:color w:val="0000FF" w:themeColor="hyperlink"/>
      <w:u w:val="single"/>
    </w:rPr>
  </w:style>
  <w:style w:type="paragraph" w:styleId="Textodebalo">
    <w:name w:val="Balloon Text"/>
    <w:basedOn w:val="Normal"/>
    <w:link w:val="TextodebaloChar"/>
    <w:uiPriority w:val="99"/>
    <w:semiHidden/>
    <w:unhideWhenUsed/>
    <w:rsid w:val="005B782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B782C"/>
    <w:rPr>
      <w:rFonts w:ascii="Tahoma" w:hAnsi="Tahoma" w:cs="Tahoma"/>
      <w:sz w:val="16"/>
      <w:szCs w:val="16"/>
    </w:rPr>
  </w:style>
  <w:style w:type="paragraph" w:styleId="Sumrio2">
    <w:name w:val="toc 2"/>
    <w:basedOn w:val="Normal"/>
    <w:next w:val="Normal"/>
    <w:autoRedefine/>
    <w:uiPriority w:val="39"/>
    <w:unhideWhenUsed/>
    <w:rsid w:val="000C021C"/>
    <w:pPr>
      <w:tabs>
        <w:tab w:val="right" w:leader="dot" w:pos="9061"/>
      </w:tabs>
      <w:spacing w:after="0"/>
      <w:ind w:left="220"/>
    </w:pPr>
    <w:rPr>
      <w:rFonts w:ascii="Tahoma" w:hAnsi="Tahoma" w:cs="Tahoma"/>
      <w:smallCaps/>
      <w:noProof/>
      <w:sz w:val="20"/>
      <w:szCs w:val="20"/>
    </w:rPr>
  </w:style>
  <w:style w:type="paragraph" w:styleId="Sumrio3">
    <w:name w:val="toc 3"/>
    <w:basedOn w:val="Normal"/>
    <w:next w:val="Normal"/>
    <w:autoRedefine/>
    <w:uiPriority w:val="39"/>
    <w:unhideWhenUsed/>
    <w:rsid w:val="007B14C0"/>
    <w:pPr>
      <w:tabs>
        <w:tab w:val="right" w:leader="dot" w:pos="7360"/>
      </w:tabs>
      <w:spacing w:after="0"/>
      <w:ind w:left="440"/>
    </w:pPr>
    <w:rPr>
      <w:rFonts w:ascii="Tahoma" w:hAnsi="Tahoma" w:cs="Tahoma"/>
      <w:iCs/>
      <w:noProof/>
      <w:sz w:val="20"/>
      <w:szCs w:val="20"/>
    </w:rPr>
  </w:style>
  <w:style w:type="paragraph" w:styleId="Textodenotaderodap">
    <w:name w:val="footnote text"/>
    <w:basedOn w:val="Normal"/>
    <w:link w:val="TextodenotaderodapChar"/>
    <w:uiPriority w:val="99"/>
    <w:unhideWhenUsed/>
    <w:rsid w:val="00B316FD"/>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B316FD"/>
    <w:rPr>
      <w:sz w:val="20"/>
      <w:szCs w:val="20"/>
    </w:rPr>
  </w:style>
  <w:style w:type="character" w:styleId="Refdenotaderodap">
    <w:name w:val="footnote reference"/>
    <w:basedOn w:val="Fontepargpadro"/>
    <w:uiPriority w:val="99"/>
    <w:semiHidden/>
    <w:unhideWhenUsed/>
    <w:rsid w:val="00B316FD"/>
    <w:rPr>
      <w:vertAlign w:val="superscript"/>
    </w:rPr>
  </w:style>
  <w:style w:type="paragraph" w:customStyle="1" w:styleId="Default">
    <w:name w:val="Default"/>
    <w:rsid w:val="00CB26E0"/>
    <w:pPr>
      <w:autoSpaceDE w:val="0"/>
      <w:autoSpaceDN w:val="0"/>
      <w:adjustRightInd w:val="0"/>
      <w:spacing w:after="0" w:line="240" w:lineRule="auto"/>
    </w:pPr>
    <w:rPr>
      <w:rFonts w:ascii="Arial" w:hAnsi="Arial" w:cs="Arial"/>
      <w:color w:val="000000"/>
      <w:sz w:val="24"/>
      <w:szCs w:val="24"/>
    </w:rPr>
  </w:style>
  <w:style w:type="character" w:customStyle="1" w:styleId="Ttulo1Char">
    <w:name w:val="Título 1 Char"/>
    <w:basedOn w:val="Fontepargpadro"/>
    <w:link w:val="Ttulo1"/>
    <w:uiPriority w:val="9"/>
    <w:rsid w:val="00310447"/>
    <w:rPr>
      <w:rFonts w:ascii="Tahoma" w:hAnsi="Tahoma" w:cs="Tahoma"/>
      <w:b/>
      <w:color w:val="002060"/>
      <w:sz w:val="24"/>
      <w:szCs w:val="24"/>
    </w:rPr>
  </w:style>
  <w:style w:type="paragraph" w:styleId="Subttulo">
    <w:name w:val="Subtitle"/>
    <w:basedOn w:val="Normal"/>
    <w:next w:val="Normal"/>
    <w:link w:val="SubttuloChar"/>
    <w:uiPriority w:val="11"/>
    <w:qFormat/>
    <w:rsid w:val="00310447"/>
    <w:pPr>
      <w:spacing w:after="120"/>
      <w:jc w:val="both"/>
      <w:outlineLvl w:val="1"/>
    </w:pPr>
    <w:rPr>
      <w:rFonts w:ascii="Tahoma" w:hAnsi="Tahoma" w:cs="Tahoma"/>
      <w:b/>
    </w:rPr>
  </w:style>
  <w:style w:type="character" w:customStyle="1" w:styleId="SubttuloChar">
    <w:name w:val="Subtítulo Char"/>
    <w:basedOn w:val="Fontepargpadro"/>
    <w:link w:val="Subttulo"/>
    <w:uiPriority w:val="11"/>
    <w:rsid w:val="00310447"/>
    <w:rPr>
      <w:rFonts w:ascii="Tahoma" w:hAnsi="Tahoma" w:cs="Tahoma"/>
      <w:b/>
    </w:rPr>
  </w:style>
  <w:style w:type="character" w:styleId="nfaseSutil">
    <w:name w:val="Subtle Emphasis"/>
    <w:aliases w:val="Subtítulo 2"/>
    <w:uiPriority w:val="19"/>
    <w:qFormat/>
    <w:rsid w:val="00251F7D"/>
    <w:rPr>
      <w:rFonts w:ascii="Tahoma" w:hAnsi="Tahoma" w:cs="Tahoma"/>
    </w:rPr>
  </w:style>
  <w:style w:type="paragraph" w:styleId="CabealhodoSumrio">
    <w:name w:val="TOC Heading"/>
    <w:basedOn w:val="Ttulo1"/>
    <w:next w:val="Normal"/>
    <w:uiPriority w:val="39"/>
    <w:unhideWhenUsed/>
    <w:qFormat/>
    <w:rsid w:val="00E4782B"/>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Sumrio4">
    <w:name w:val="toc 4"/>
    <w:basedOn w:val="Normal"/>
    <w:next w:val="Normal"/>
    <w:autoRedefine/>
    <w:uiPriority w:val="39"/>
    <w:unhideWhenUsed/>
    <w:rsid w:val="00E4782B"/>
    <w:pPr>
      <w:spacing w:after="0"/>
      <w:ind w:left="660"/>
    </w:pPr>
    <w:rPr>
      <w:sz w:val="18"/>
      <w:szCs w:val="18"/>
    </w:rPr>
  </w:style>
  <w:style w:type="paragraph" w:styleId="Sumrio5">
    <w:name w:val="toc 5"/>
    <w:basedOn w:val="Normal"/>
    <w:next w:val="Normal"/>
    <w:autoRedefine/>
    <w:uiPriority w:val="39"/>
    <w:unhideWhenUsed/>
    <w:rsid w:val="00E4782B"/>
    <w:pPr>
      <w:spacing w:after="0"/>
      <w:ind w:left="880"/>
    </w:pPr>
    <w:rPr>
      <w:sz w:val="18"/>
      <w:szCs w:val="18"/>
    </w:rPr>
  </w:style>
  <w:style w:type="paragraph" w:styleId="Sumrio6">
    <w:name w:val="toc 6"/>
    <w:basedOn w:val="Normal"/>
    <w:next w:val="Normal"/>
    <w:autoRedefine/>
    <w:uiPriority w:val="39"/>
    <w:unhideWhenUsed/>
    <w:rsid w:val="00E4782B"/>
    <w:pPr>
      <w:spacing w:after="0"/>
      <w:ind w:left="1100"/>
    </w:pPr>
    <w:rPr>
      <w:sz w:val="18"/>
      <w:szCs w:val="18"/>
    </w:rPr>
  </w:style>
  <w:style w:type="paragraph" w:styleId="Sumrio7">
    <w:name w:val="toc 7"/>
    <w:basedOn w:val="Normal"/>
    <w:next w:val="Normal"/>
    <w:autoRedefine/>
    <w:uiPriority w:val="39"/>
    <w:unhideWhenUsed/>
    <w:rsid w:val="00E4782B"/>
    <w:pPr>
      <w:spacing w:after="0"/>
      <w:ind w:left="1320"/>
    </w:pPr>
    <w:rPr>
      <w:sz w:val="18"/>
      <w:szCs w:val="18"/>
    </w:rPr>
  </w:style>
  <w:style w:type="paragraph" w:styleId="Sumrio8">
    <w:name w:val="toc 8"/>
    <w:basedOn w:val="Normal"/>
    <w:next w:val="Normal"/>
    <w:autoRedefine/>
    <w:uiPriority w:val="39"/>
    <w:unhideWhenUsed/>
    <w:rsid w:val="00E4782B"/>
    <w:pPr>
      <w:spacing w:after="0"/>
      <w:ind w:left="1540"/>
    </w:pPr>
    <w:rPr>
      <w:sz w:val="18"/>
      <w:szCs w:val="18"/>
    </w:rPr>
  </w:style>
  <w:style w:type="paragraph" w:styleId="Sumrio9">
    <w:name w:val="toc 9"/>
    <w:basedOn w:val="Normal"/>
    <w:next w:val="Normal"/>
    <w:autoRedefine/>
    <w:uiPriority w:val="39"/>
    <w:unhideWhenUsed/>
    <w:rsid w:val="00E4782B"/>
    <w:pPr>
      <w:spacing w:after="0"/>
      <w:ind w:left="1760"/>
    </w:pPr>
    <w:rPr>
      <w:sz w:val="18"/>
      <w:szCs w:val="18"/>
    </w:rPr>
  </w:style>
  <w:style w:type="character" w:customStyle="1" w:styleId="Ttulo2Char">
    <w:name w:val="Título 2 Char"/>
    <w:basedOn w:val="Fontepargpadro"/>
    <w:link w:val="Ttulo2"/>
    <w:uiPriority w:val="9"/>
    <w:rsid w:val="00F440C7"/>
    <w:rPr>
      <w:rFonts w:asciiTheme="majorHAnsi" w:eastAsiaTheme="majorEastAsia" w:hAnsiTheme="majorHAnsi" w:cstheme="majorBidi"/>
      <w:color w:val="365F91" w:themeColor="accent1" w:themeShade="BF"/>
      <w:sz w:val="26"/>
      <w:szCs w:val="26"/>
    </w:rPr>
  </w:style>
  <w:style w:type="table" w:styleId="SombreamentoMdio1-nfase1">
    <w:name w:val="Medium Shading 1 Accent 1"/>
    <w:basedOn w:val="Tabelanormal"/>
    <w:uiPriority w:val="63"/>
    <w:rsid w:val="008026B8"/>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Textodenotadefim">
    <w:name w:val="endnote text"/>
    <w:basedOn w:val="Normal"/>
    <w:link w:val="TextodenotadefimChar"/>
    <w:uiPriority w:val="99"/>
    <w:semiHidden/>
    <w:unhideWhenUsed/>
    <w:rsid w:val="00A50E9C"/>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A50E9C"/>
    <w:rPr>
      <w:sz w:val="20"/>
      <w:szCs w:val="20"/>
    </w:rPr>
  </w:style>
  <w:style w:type="character" w:styleId="Refdenotadefim">
    <w:name w:val="endnote reference"/>
    <w:basedOn w:val="Fontepargpadro"/>
    <w:uiPriority w:val="99"/>
    <w:semiHidden/>
    <w:unhideWhenUsed/>
    <w:rsid w:val="00A50E9C"/>
    <w:rPr>
      <w:vertAlign w:val="superscript"/>
    </w:rPr>
  </w:style>
  <w:style w:type="character" w:styleId="Refdecomentrio">
    <w:name w:val="annotation reference"/>
    <w:basedOn w:val="Fontepargpadro"/>
    <w:uiPriority w:val="99"/>
    <w:semiHidden/>
    <w:unhideWhenUsed/>
    <w:rsid w:val="00B80635"/>
    <w:rPr>
      <w:sz w:val="16"/>
      <w:szCs w:val="16"/>
    </w:rPr>
  </w:style>
  <w:style w:type="paragraph" w:styleId="Textodecomentrio">
    <w:name w:val="annotation text"/>
    <w:basedOn w:val="Normal"/>
    <w:link w:val="TextodecomentrioChar"/>
    <w:uiPriority w:val="99"/>
    <w:semiHidden/>
    <w:unhideWhenUsed/>
    <w:rsid w:val="00B80635"/>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B80635"/>
    <w:rPr>
      <w:sz w:val="20"/>
      <w:szCs w:val="20"/>
    </w:rPr>
  </w:style>
  <w:style w:type="paragraph" w:styleId="Assuntodocomentrio">
    <w:name w:val="annotation subject"/>
    <w:basedOn w:val="Textodecomentrio"/>
    <w:next w:val="Textodecomentrio"/>
    <w:link w:val="AssuntodocomentrioChar"/>
    <w:uiPriority w:val="99"/>
    <w:semiHidden/>
    <w:unhideWhenUsed/>
    <w:rsid w:val="00B80635"/>
    <w:rPr>
      <w:b/>
      <w:bCs/>
    </w:rPr>
  </w:style>
  <w:style w:type="character" w:customStyle="1" w:styleId="AssuntodocomentrioChar">
    <w:name w:val="Assunto do comentário Char"/>
    <w:basedOn w:val="TextodecomentrioChar"/>
    <w:link w:val="Assuntodocomentrio"/>
    <w:uiPriority w:val="99"/>
    <w:semiHidden/>
    <w:rsid w:val="00B80635"/>
    <w:rPr>
      <w:b/>
      <w:bCs/>
      <w:sz w:val="20"/>
      <w:szCs w:val="20"/>
    </w:rPr>
  </w:style>
  <w:style w:type="character" w:customStyle="1" w:styleId="Ttulo3Char">
    <w:name w:val="Título 3 Char"/>
    <w:basedOn w:val="Fontepargpadro"/>
    <w:link w:val="Ttulo3"/>
    <w:uiPriority w:val="9"/>
    <w:semiHidden/>
    <w:rsid w:val="002B3FE6"/>
    <w:rPr>
      <w:rFonts w:asciiTheme="majorHAnsi" w:eastAsiaTheme="majorEastAsia" w:hAnsiTheme="majorHAnsi" w:cstheme="majorBidi"/>
      <w:color w:val="243F60" w:themeColor="accent1" w:themeShade="7F"/>
      <w:sz w:val="24"/>
      <w:szCs w:val="24"/>
    </w:rPr>
  </w:style>
  <w:style w:type="table" w:styleId="Tabelacomgrade">
    <w:name w:val="Table Grid"/>
    <w:basedOn w:val="Tabelanormal"/>
    <w:uiPriority w:val="59"/>
    <w:rsid w:val="004D70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35573172">
      <w:bodyDiv w:val="1"/>
      <w:marLeft w:val="0"/>
      <w:marRight w:val="0"/>
      <w:marTop w:val="0"/>
      <w:marBottom w:val="0"/>
      <w:divBdr>
        <w:top w:val="none" w:sz="0" w:space="0" w:color="auto"/>
        <w:left w:val="none" w:sz="0" w:space="0" w:color="auto"/>
        <w:bottom w:val="none" w:sz="0" w:space="0" w:color="auto"/>
        <w:right w:val="none" w:sz="0" w:space="0" w:color="auto"/>
      </w:divBdr>
    </w:div>
    <w:div w:id="1298416986">
      <w:bodyDiv w:val="1"/>
      <w:marLeft w:val="0"/>
      <w:marRight w:val="0"/>
      <w:marTop w:val="0"/>
      <w:marBottom w:val="0"/>
      <w:divBdr>
        <w:top w:val="none" w:sz="0" w:space="0" w:color="auto"/>
        <w:left w:val="none" w:sz="0" w:space="0" w:color="auto"/>
        <w:bottom w:val="none" w:sz="0" w:space="0" w:color="auto"/>
        <w:right w:val="none" w:sz="0" w:space="0" w:color="auto"/>
      </w:divBdr>
    </w:div>
    <w:div w:id="1431899812">
      <w:bodyDiv w:val="1"/>
      <w:marLeft w:val="0"/>
      <w:marRight w:val="0"/>
      <w:marTop w:val="0"/>
      <w:marBottom w:val="0"/>
      <w:divBdr>
        <w:top w:val="none" w:sz="0" w:space="0" w:color="auto"/>
        <w:left w:val="none" w:sz="0" w:space="0" w:color="auto"/>
        <w:bottom w:val="none" w:sz="0" w:space="0" w:color="auto"/>
        <w:right w:val="none" w:sz="0" w:space="0" w:color="auto"/>
      </w:divBdr>
    </w:div>
    <w:div w:id="1591621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oleObject" Target="embeddings/oleObject9.bin"/><Relationship Id="rId26" Type="http://schemas.openxmlformats.org/officeDocument/2006/relationships/oleObject" Target="embeddings/oleObject17.bin"/><Relationship Id="rId39" Type="http://schemas.openxmlformats.org/officeDocument/2006/relationships/oleObject" Target="embeddings/oleObject30.bin"/><Relationship Id="rId21" Type="http://schemas.openxmlformats.org/officeDocument/2006/relationships/oleObject" Target="embeddings/oleObject12.bin"/><Relationship Id="rId34" Type="http://schemas.openxmlformats.org/officeDocument/2006/relationships/oleObject" Target="embeddings/oleObject25.bin"/><Relationship Id="rId42" Type="http://schemas.openxmlformats.org/officeDocument/2006/relationships/oleObject" Target="embeddings/oleObject33.bin"/><Relationship Id="rId47" Type="http://schemas.openxmlformats.org/officeDocument/2006/relationships/oleObject" Target="embeddings/oleObject38.bin"/><Relationship Id="rId50" Type="http://schemas.openxmlformats.org/officeDocument/2006/relationships/chart" Target="charts/chart2.xml"/><Relationship Id="rId55" Type="http://schemas.openxmlformats.org/officeDocument/2006/relationships/oleObject" Target="embeddings/oleObject40.bin"/><Relationship Id="rId63" Type="http://schemas.openxmlformats.org/officeDocument/2006/relationships/oleObject" Target="embeddings/oleObject42.bin"/><Relationship Id="rId68" Type="http://schemas.openxmlformats.org/officeDocument/2006/relationships/oleObject" Target="embeddings/oleObject46.bin"/><Relationship Id="rId76" Type="http://schemas.openxmlformats.org/officeDocument/2006/relationships/oleObject" Target="embeddings/oleObject53.bin"/><Relationship Id="rId7" Type="http://schemas.openxmlformats.org/officeDocument/2006/relationships/endnotes" Target="endnotes.xml"/><Relationship Id="rId71" Type="http://schemas.openxmlformats.org/officeDocument/2006/relationships/oleObject" Target="embeddings/oleObject48.bin"/><Relationship Id="rId2" Type="http://schemas.openxmlformats.org/officeDocument/2006/relationships/numbering" Target="numbering.xml"/><Relationship Id="rId16" Type="http://schemas.openxmlformats.org/officeDocument/2006/relationships/oleObject" Target="embeddings/oleObject7.bin"/><Relationship Id="rId29" Type="http://schemas.openxmlformats.org/officeDocument/2006/relationships/oleObject" Target="embeddings/oleObject20.bin"/><Relationship Id="rId11" Type="http://schemas.openxmlformats.org/officeDocument/2006/relationships/oleObject" Target="embeddings/oleObject2.bin"/><Relationship Id="rId24" Type="http://schemas.openxmlformats.org/officeDocument/2006/relationships/oleObject" Target="embeddings/oleObject15.bin"/><Relationship Id="rId32" Type="http://schemas.openxmlformats.org/officeDocument/2006/relationships/oleObject" Target="embeddings/oleObject23.bin"/><Relationship Id="rId37" Type="http://schemas.openxmlformats.org/officeDocument/2006/relationships/oleObject" Target="embeddings/oleObject28.bin"/><Relationship Id="rId40" Type="http://schemas.openxmlformats.org/officeDocument/2006/relationships/oleObject" Target="embeddings/oleObject31.bin"/><Relationship Id="rId45" Type="http://schemas.openxmlformats.org/officeDocument/2006/relationships/oleObject" Target="embeddings/oleObject36.bin"/><Relationship Id="rId53" Type="http://schemas.openxmlformats.org/officeDocument/2006/relationships/chart" Target="charts/chart5.xml"/><Relationship Id="rId58" Type="http://schemas.openxmlformats.org/officeDocument/2006/relationships/chart" Target="charts/chart8.xml"/><Relationship Id="rId66" Type="http://schemas.openxmlformats.org/officeDocument/2006/relationships/image" Target="media/image4.wmf"/><Relationship Id="rId74" Type="http://schemas.openxmlformats.org/officeDocument/2006/relationships/oleObject" Target="embeddings/oleObject51.bin"/><Relationship Id="rId79"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chart" Target="charts/chart11.xml"/><Relationship Id="rId10" Type="http://schemas.openxmlformats.org/officeDocument/2006/relationships/image" Target="media/image2.emf"/><Relationship Id="rId19" Type="http://schemas.openxmlformats.org/officeDocument/2006/relationships/oleObject" Target="embeddings/oleObject10.bin"/><Relationship Id="rId31" Type="http://schemas.openxmlformats.org/officeDocument/2006/relationships/oleObject" Target="embeddings/oleObject22.bin"/><Relationship Id="rId44" Type="http://schemas.openxmlformats.org/officeDocument/2006/relationships/oleObject" Target="embeddings/oleObject35.bin"/><Relationship Id="rId52" Type="http://schemas.openxmlformats.org/officeDocument/2006/relationships/chart" Target="charts/chart4.xml"/><Relationship Id="rId60" Type="http://schemas.openxmlformats.org/officeDocument/2006/relationships/chart" Target="charts/chart10.xml"/><Relationship Id="rId65" Type="http://schemas.openxmlformats.org/officeDocument/2006/relationships/oleObject" Target="embeddings/oleObject44.bin"/><Relationship Id="rId73" Type="http://schemas.openxmlformats.org/officeDocument/2006/relationships/oleObject" Target="embeddings/oleObject50.bin"/><Relationship Id="rId78" Type="http://schemas.openxmlformats.org/officeDocument/2006/relationships/image" Target="media/image6.emf"/><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5.bin"/><Relationship Id="rId22" Type="http://schemas.openxmlformats.org/officeDocument/2006/relationships/oleObject" Target="embeddings/oleObject13.bin"/><Relationship Id="rId27" Type="http://schemas.openxmlformats.org/officeDocument/2006/relationships/oleObject" Target="embeddings/oleObject18.bin"/><Relationship Id="rId30" Type="http://schemas.openxmlformats.org/officeDocument/2006/relationships/oleObject" Target="embeddings/oleObject21.bin"/><Relationship Id="rId35" Type="http://schemas.openxmlformats.org/officeDocument/2006/relationships/oleObject" Target="embeddings/oleObject26.bin"/><Relationship Id="rId43" Type="http://schemas.openxmlformats.org/officeDocument/2006/relationships/oleObject" Target="embeddings/oleObject34.bin"/><Relationship Id="rId48" Type="http://schemas.openxmlformats.org/officeDocument/2006/relationships/chart" Target="charts/chart1.xml"/><Relationship Id="rId56" Type="http://schemas.openxmlformats.org/officeDocument/2006/relationships/chart" Target="charts/chart6.xml"/><Relationship Id="rId64" Type="http://schemas.openxmlformats.org/officeDocument/2006/relationships/oleObject" Target="embeddings/oleObject43.bin"/><Relationship Id="rId69" Type="http://schemas.openxmlformats.org/officeDocument/2006/relationships/image" Target="media/image5.png"/><Relationship Id="rId77" Type="http://schemas.openxmlformats.org/officeDocument/2006/relationships/oleObject" Target="embeddings/oleObject54.bin"/><Relationship Id="rId8" Type="http://schemas.openxmlformats.org/officeDocument/2006/relationships/image" Target="media/image1.emf"/><Relationship Id="rId51" Type="http://schemas.openxmlformats.org/officeDocument/2006/relationships/chart" Target="charts/chart3.xml"/><Relationship Id="rId72" Type="http://schemas.openxmlformats.org/officeDocument/2006/relationships/oleObject" Target="embeddings/oleObject49.bin"/><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oleObject" Target="embeddings/oleObject3.bin"/><Relationship Id="rId17" Type="http://schemas.openxmlformats.org/officeDocument/2006/relationships/oleObject" Target="embeddings/oleObject8.bin"/><Relationship Id="rId25" Type="http://schemas.openxmlformats.org/officeDocument/2006/relationships/oleObject" Target="embeddings/oleObject16.bin"/><Relationship Id="rId33" Type="http://schemas.openxmlformats.org/officeDocument/2006/relationships/oleObject" Target="embeddings/oleObject24.bin"/><Relationship Id="rId38" Type="http://schemas.openxmlformats.org/officeDocument/2006/relationships/oleObject" Target="embeddings/oleObject29.bin"/><Relationship Id="rId46" Type="http://schemas.openxmlformats.org/officeDocument/2006/relationships/oleObject" Target="embeddings/oleObject37.bin"/><Relationship Id="rId59" Type="http://schemas.openxmlformats.org/officeDocument/2006/relationships/chart" Target="charts/chart9.xml"/><Relationship Id="rId67" Type="http://schemas.openxmlformats.org/officeDocument/2006/relationships/oleObject" Target="embeddings/oleObject45.bin"/><Relationship Id="rId20" Type="http://schemas.openxmlformats.org/officeDocument/2006/relationships/oleObject" Target="embeddings/oleObject11.bin"/><Relationship Id="rId41" Type="http://schemas.openxmlformats.org/officeDocument/2006/relationships/oleObject" Target="embeddings/oleObject32.bin"/><Relationship Id="rId54" Type="http://schemas.openxmlformats.org/officeDocument/2006/relationships/oleObject" Target="embeddings/oleObject39.bin"/><Relationship Id="rId62" Type="http://schemas.openxmlformats.org/officeDocument/2006/relationships/oleObject" Target="embeddings/oleObject41.bin"/><Relationship Id="rId70" Type="http://schemas.openxmlformats.org/officeDocument/2006/relationships/oleObject" Target="embeddings/oleObject47.bin"/><Relationship Id="rId75" Type="http://schemas.openxmlformats.org/officeDocument/2006/relationships/oleObject" Target="embeddings/oleObject52.bin"/><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6.bin"/><Relationship Id="rId23" Type="http://schemas.openxmlformats.org/officeDocument/2006/relationships/oleObject" Target="embeddings/oleObject14.bin"/><Relationship Id="rId28" Type="http://schemas.openxmlformats.org/officeDocument/2006/relationships/oleObject" Target="embeddings/oleObject19.bin"/><Relationship Id="rId36" Type="http://schemas.openxmlformats.org/officeDocument/2006/relationships/oleObject" Target="embeddings/oleObject27.bin"/><Relationship Id="rId49" Type="http://schemas.openxmlformats.org/officeDocument/2006/relationships/image" Target="media/image3.emf"/><Relationship Id="rId57"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rtadeu\Desktop\Referencia2016_17_18_19_20_21_22_23.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rtadeu\Desktop\Referencia2016_17_18_19_20_21_22_23.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rtadeu\Desktop\Referencia2016_17_18_19_20_21_22_23.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rtadeu\Desktop\Referencia2016_17_18_19_20_21_22_23.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rtadeu\Desktop\Referencia2016_17_18_19_20_21_22_23.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rtadeu\Desktop\Referencia2016_17_18_19_20_21_22_23.xls"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rtadeu\Desktop\Referencia2016_17_18_19_20_21_22_23.xls"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rtadeu\Desktop\Referencia2016_17_18_19_20_21_22_23.xls"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rtadeu\Desktop\Referencia2016_17_18_19_20_21_22_23.xls"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rtadeu\Desktop\Referencia2016_17_18_19_20_21_22_23.xls"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rtadeu\Desktop\Referencia2016_17_18_19_20_21_22_23.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lang val="pt-BR"/>
  <c:chart>
    <c:plotArea>
      <c:layout>
        <c:manualLayout>
          <c:layoutTarget val="inner"/>
          <c:xMode val="edge"/>
          <c:yMode val="edge"/>
          <c:x val="9.0273833768880068E-2"/>
          <c:y val="6.4407723849053342E-2"/>
          <c:w val="0.87706049486263227"/>
          <c:h val="0.65232243931705824"/>
        </c:manualLayout>
      </c:layout>
      <c:areaChart>
        <c:grouping val="stacked"/>
        <c:ser>
          <c:idx val="0"/>
          <c:order val="0"/>
          <c:spPr>
            <a:noFill/>
            <a:ln w="25400">
              <a:noFill/>
            </a:ln>
          </c:spPr>
          <c:cat>
            <c:strRef>
              <c:f>NFSP!$M$25:$AH$25</c:f>
              <c:strCache>
                <c:ptCount val="22"/>
                <c:pt idx="0">
                  <c:v>2003 </c:v>
                </c:pt>
                <c:pt idx="1">
                  <c:v>2004 </c:v>
                </c:pt>
                <c:pt idx="2">
                  <c:v>2005 </c:v>
                </c:pt>
                <c:pt idx="3">
                  <c:v>2006 </c:v>
                </c:pt>
                <c:pt idx="4">
                  <c:v>2007 </c:v>
                </c:pt>
                <c:pt idx="5">
                  <c:v>2008 </c:v>
                </c:pt>
                <c:pt idx="6">
                  <c:v>2009 </c:v>
                </c:pt>
                <c:pt idx="7">
                  <c:v>2010 </c:v>
                </c:pt>
                <c:pt idx="8">
                  <c:v>2011 </c:v>
                </c:pt>
                <c:pt idx="9">
                  <c:v>2012 </c:v>
                </c:pt>
                <c:pt idx="10">
                  <c:v>2013 </c:v>
                </c:pt>
                <c:pt idx="11">
                  <c:v>2014 </c:v>
                </c:pt>
                <c:pt idx="12">
                  <c:v>2015 </c:v>
                </c:pt>
                <c:pt idx="13">
                  <c:v>2016 </c:v>
                </c:pt>
                <c:pt idx="14">
                  <c:v>2017 </c:v>
                </c:pt>
                <c:pt idx="15">
                  <c:v>2018</c:v>
                </c:pt>
                <c:pt idx="16">
                  <c:v>2019</c:v>
                </c:pt>
                <c:pt idx="17">
                  <c:v>2020</c:v>
                </c:pt>
                <c:pt idx="18">
                  <c:v>2021</c:v>
                </c:pt>
                <c:pt idx="19">
                  <c:v>2022</c:v>
                </c:pt>
                <c:pt idx="20">
                  <c:v>2023</c:v>
                </c:pt>
                <c:pt idx="21">
                  <c:v>2024*</c:v>
                </c:pt>
              </c:strCache>
            </c:strRef>
          </c:cat>
          <c:val>
            <c:numRef>
              <c:f>NFSP!$B$43:$B$64</c:f>
              <c:numCache>
                <c:formatCode>_(* #,##0.00_);_(* \(#,##0.00\);_(* "-"??_);_(@_)</c:formatCode>
                <c:ptCount val="22"/>
                <c:pt idx="0">
                  <c:v>3.24</c:v>
                </c:pt>
                <c:pt idx="1">
                  <c:v>3.69</c:v>
                </c:pt>
                <c:pt idx="2">
                  <c:v>3.74</c:v>
                </c:pt>
                <c:pt idx="3">
                  <c:v>3.15</c:v>
                </c:pt>
                <c:pt idx="4">
                  <c:v>3.24</c:v>
                </c:pt>
                <c:pt idx="5">
                  <c:v>3.3299999999999996</c:v>
                </c:pt>
                <c:pt idx="6">
                  <c:v>1.95</c:v>
                </c:pt>
                <c:pt idx="7">
                  <c:v>2.62</c:v>
                </c:pt>
                <c:pt idx="8">
                  <c:v>2.94</c:v>
                </c:pt>
                <c:pt idx="9">
                  <c:v>2.1800000000000002</c:v>
                </c:pt>
                <c:pt idx="10">
                  <c:v>1.7100000000000002</c:v>
                </c:pt>
                <c:pt idx="11">
                  <c:v>-0.56000000000000005</c:v>
                </c:pt>
                <c:pt idx="12">
                  <c:v>-1.86</c:v>
                </c:pt>
                <c:pt idx="13">
                  <c:v>-2.48</c:v>
                </c:pt>
                <c:pt idx="14">
                  <c:v>-1.6800000000000002</c:v>
                </c:pt>
                <c:pt idx="15">
                  <c:v>-1.55</c:v>
                </c:pt>
                <c:pt idx="16">
                  <c:v>-0.84000000000000008</c:v>
                </c:pt>
                <c:pt idx="17">
                  <c:v>-9.2399999999999984</c:v>
                </c:pt>
                <c:pt idx="18">
                  <c:v>0.72000000000000008</c:v>
                </c:pt>
                <c:pt idx="19">
                  <c:v>1.25</c:v>
                </c:pt>
                <c:pt idx="20">
                  <c:v>-2.29</c:v>
                </c:pt>
                <c:pt idx="21">
                  <c:v>-1.1399999999999997</c:v>
                </c:pt>
              </c:numCache>
            </c:numRef>
          </c:val>
          <c:extLst xmlns:c16r2="http://schemas.microsoft.com/office/drawing/2015/06/chart">
            <c:ext xmlns:c16="http://schemas.microsoft.com/office/drawing/2014/chart" uri="{C3380CC4-5D6E-409C-BE32-E72D297353CC}">
              <c16:uniqueId val="{00000000-74EE-474B-A9B4-D40BB1D200CE}"/>
            </c:ext>
          </c:extLst>
        </c:ser>
        <c:ser>
          <c:idx val="1"/>
          <c:order val="1"/>
          <c:tx>
            <c:strRef>
              <c:f>NFSP!$C$42</c:f>
              <c:strCache>
                <c:ptCount val="1"/>
                <c:pt idx="0">
                  <c:v>Déficit Público</c:v>
                </c:pt>
              </c:strCache>
            </c:strRef>
          </c:tx>
          <c:spPr>
            <a:solidFill>
              <a:schemeClr val="bg1">
                <a:lumMod val="85000"/>
              </a:schemeClr>
            </a:solidFill>
            <a:ln>
              <a:solidFill>
                <a:schemeClr val="bg1">
                  <a:lumMod val="75000"/>
                </a:schemeClr>
              </a:solidFill>
            </a:ln>
            <a:effectLst/>
          </c:spPr>
          <c:cat>
            <c:strRef>
              <c:f>NFSP!$M$25:$AH$25</c:f>
              <c:strCache>
                <c:ptCount val="22"/>
                <c:pt idx="0">
                  <c:v>2003 </c:v>
                </c:pt>
                <c:pt idx="1">
                  <c:v>2004 </c:v>
                </c:pt>
                <c:pt idx="2">
                  <c:v>2005 </c:v>
                </c:pt>
                <c:pt idx="3">
                  <c:v>2006 </c:v>
                </c:pt>
                <c:pt idx="4">
                  <c:v>2007 </c:v>
                </c:pt>
                <c:pt idx="5">
                  <c:v>2008 </c:v>
                </c:pt>
                <c:pt idx="6">
                  <c:v>2009 </c:v>
                </c:pt>
                <c:pt idx="7">
                  <c:v>2010 </c:v>
                </c:pt>
                <c:pt idx="8">
                  <c:v>2011 </c:v>
                </c:pt>
                <c:pt idx="9">
                  <c:v>2012 </c:v>
                </c:pt>
                <c:pt idx="10">
                  <c:v>2013 </c:v>
                </c:pt>
                <c:pt idx="11">
                  <c:v>2014 </c:v>
                </c:pt>
                <c:pt idx="12">
                  <c:v>2015 </c:v>
                </c:pt>
                <c:pt idx="13">
                  <c:v>2016 </c:v>
                </c:pt>
                <c:pt idx="14">
                  <c:v>2017 </c:v>
                </c:pt>
                <c:pt idx="15">
                  <c:v>2018</c:v>
                </c:pt>
                <c:pt idx="16">
                  <c:v>2019</c:v>
                </c:pt>
                <c:pt idx="17">
                  <c:v>2020</c:v>
                </c:pt>
                <c:pt idx="18">
                  <c:v>2021</c:v>
                </c:pt>
                <c:pt idx="19">
                  <c:v>2022</c:v>
                </c:pt>
                <c:pt idx="20">
                  <c:v>2023</c:v>
                </c:pt>
                <c:pt idx="21">
                  <c:v>2024*</c:v>
                </c:pt>
              </c:strCache>
            </c:strRef>
          </c:cat>
          <c:val>
            <c:numRef>
              <c:f>NFSP!$C$43:$C$64</c:f>
              <c:numCache>
                <c:formatCode>_(* #,##0.00_);_(* \(#,##0.00\);_(* "-"??_);_(@_)</c:formatCode>
                <c:ptCount val="22"/>
                <c:pt idx="0">
                  <c:v>5.18</c:v>
                </c:pt>
                <c:pt idx="1">
                  <c:v>2.8699999999999997</c:v>
                </c:pt>
                <c:pt idx="2">
                  <c:v>3.54</c:v>
                </c:pt>
                <c:pt idx="3">
                  <c:v>3.57</c:v>
                </c:pt>
                <c:pt idx="4">
                  <c:v>2.74</c:v>
                </c:pt>
                <c:pt idx="5">
                  <c:v>1.9900000000000002</c:v>
                </c:pt>
                <c:pt idx="6">
                  <c:v>3.1799999999999997</c:v>
                </c:pt>
                <c:pt idx="7">
                  <c:v>2.4099999999999997</c:v>
                </c:pt>
                <c:pt idx="8">
                  <c:v>2.4699999999999998</c:v>
                </c:pt>
                <c:pt idx="9">
                  <c:v>2.2600000000000002</c:v>
                </c:pt>
                <c:pt idx="10">
                  <c:v>2.96</c:v>
                </c:pt>
                <c:pt idx="11">
                  <c:v>5.9499999999999993</c:v>
                </c:pt>
                <c:pt idx="12">
                  <c:v>10.23</c:v>
                </c:pt>
                <c:pt idx="13">
                  <c:v>8.9700000000000006</c:v>
                </c:pt>
                <c:pt idx="14">
                  <c:v>7.7700000000000005</c:v>
                </c:pt>
                <c:pt idx="15">
                  <c:v>7.05</c:v>
                </c:pt>
                <c:pt idx="16">
                  <c:v>5.8999999999999995</c:v>
                </c:pt>
                <c:pt idx="17">
                  <c:v>13.350000000000003</c:v>
                </c:pt>
                <c:pt idx="18">
                  <c:v>4.2600000000000007</c:v>
                </c:pt>
                <c:pt idx="19">
                  <c:v>4.57</c:v>
                </c:pt>
                <c:pt idx="20">
                  <c:v>8.91</c:v>
                </c:pt>
                <c:pt idx="21">
                  <c:v>9.09</c:v>
                </c:pt>
              </c:numCache>
            </c:numRef>
          </c:val>
          <c:extLst xmlns:c16r2="http://schemas.microsoft.com/office/drawing/2015/06/chart">
            <c:ext xmlns:c16="http://schemas.microsoft.com/office/drawing/2014/chart" uri="{C3380CC4-5D6E-409C-BE32-E72D297353CC}">
              <c16:uniqueId val="{00000001-74EE-474B-A9B4-D40BB1D200CE}"/>
            </c:ext>
          </c:extLst>
        </c:ser>
        <c:dLbls/>
        <c:axId val="78108544"/>
        <c:axId val="71200768"/>
      </c:areaChart>
      <c:lineChart>
        <c:grouping val="standard"/>
        <c:ser>
          <c:idx val="2"/>
          <c:order val="2"/>
          <c:tx>
            <c:strRef>
              <c:f>NFSP!$A$42</c:f>
              <c:strCache>
                <c:ptCount val="1"/>
                <c:pt idx="0">
                  <c:v>Juros Nominais</c:v>
                </c:pt>
              </c:strCache>
            </c:strRef>
          </c:tx>
          <c:spPr>
            <a:ln w="28575" cap="rnd">
              <a:solidFill>
                <a:srgbClr val="0070C0"/>
              </a:solidFill>
              <a:round/>
            </a:ln>
            <a:effectLst/>
          </c:spPr>
          <c:marker>
            <c:symbol val="none"/>
          </c:marker>
          <c:dLbls>
            <c:dLbl>
              <c:idx val="0"/>
              <c:layout>
                <c:manualLayout>
                  <c:x val="-1.3876314729670559E-2"/>
                  <c:y val="-1.1560730986879004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74EE-474B-A9B4-D40BB1D200CE}"/>
                </c:ext>
              </c:extLst>
            </c:dLbl>
            <c:dLbl>
              <c:idx val="1"/>
              <c:layout>
                <c:manualLayout>
                  <c:x val="-2.90207384875086E-2"/>
                  <c:y val="-3.1193398724204614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74EE-474B-A9B4-D40BB1D200CE}"/>
                </c:ext>
              </c:extLst>
            </c:dLbl>
            <c:dLbl>
              <c:idx val="2"/>
              <c:layout>
                <c:manualLayout>
                  <c:x val="-4.0092581327962576E-2"/>
                  <c:y val="-2.3951417297809596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74EE-474B-A9B4-D40BB1D200CE}"/>
                </c:ext>
              </c:extLst>
            </c:dLbl>
            <c:dLbl>
              <c:idx val="3"/>
              <c:layout>
                <c:manualLayout>
                  <c:x val="-2.0905919521172191E-2"/>
                  <c:y val="-3.0495548663745427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74EE-474B-A9B4-D40BB1D200CE}"/>
                </c:ext>
              </c:extLst>
            </c:dLbl>
            <c:dLbl>
              <c:idx val="4"/>
              <c:layout>
                <c:manualLayout>
                  <c:x val="-2.0905919521172146E-2"/>
                  <c:y val="-3.3883942959717077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74EE-474B-A9B4-D40BB1D200CE}"/>
                </c:ext>
              </c:extLst>
            </c:dLbl>
            <c:dLbl>
              <c:idx val="5"/>
              <c:layout>
                <c:manualLayout>
                  <c:x val="-2.3228799467969137E-2"/>
                  <c:y val="-3.3883942959717077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74EE-474B-A9B4-D40BB1D200CE}"/>
                </c:ext>
              </c:extLst>
            </c:dLbl>
            <c:dLbl>
              <c:idx val="6"/>
              <c:layout>
                <c:manualLayout>
                  <c:x val="-3.4239632650693699E-2"/>
                  <c:y val="-2.4649176145096138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74EE-474B-A9B4-D40BB1D200CE}"/>
                </c:ext>
              </c:extLst>
            </c:dLbl>
            <c:dLbl>
              <c:idx val="7"/>
              <c:layout>
                <c:manualLayout>
                  <c:x val="-2.7874563019741939E-2"/>
                  <c:y val="-2.7804994293435983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74EE-474B-A9B4-D40BB1D200CE}"/>
                </c:ext>
              </c:extLst>
            </c:dLbl>
            <c:dLbl>
              <c:idx val="8"/>
              <c:layout>
                <c:manualLayout>
                  <c:x val="-3.2520319255156749E-2"/>
                  <c:y val="-3.0495548663745365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74EE-474B-A9B4-D40BB1D200CE}"/>
                </c:ext>
              </c:extLst>
            </c:dLbl>
            <c:dLbl>
              <c:idx val="9"/>
              <c:layout>
                <c:manualLayout>
                  <c:x val="-2.7844114074150217E-2"/>
                  <c:y val="-2.7804994293435931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74EE-474B-A9B4-D40BB1D200CE}"/>
                </c:ext>
              </c:extLst>
            </c:dLbl>
            <c:dLbl>
              <c:idx val="10"/>
              <c:layout>
                <c:manualLayout>
                  <c:x val="-4.4134718989141196E-2"/>
                  <c:y val="-3.3883942959717077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74EE-474B-A9B4-D40BB1D200CE}"/>
                </c:ext>
              </c:extLst>
            </c:dLbl>
            <c:dLbl>
              <c:idx val="11"/>
              <c:layout>
                <c:manualLayout>
                  <c:x val="-4.2384932263496225E-2"/>
                  <c:y val="-2.8037580575864758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74EE-474B-A9B4-D40BB1D200CE}"/>
                </c:ext>
              </c:extLst>
            </c:dLbl>
            <c:dLbl>
              <c:idx val="12"/>
              <c:layout>
                <c:manualLayout>
                  <c:x val="-2.0241384360622432E-2"/>
                  <c:y val="-1.425137657036123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74EE-474B-A9B4-D40BB1D200CE}"/>
                </c:ext>
              </c:extLst>
            </c:dLbl>
            <c:dLbl>
              <c:idx val="13"/>
              <c:layout>
                <c:manualLayout>
                  <c:x val="1.1752000992018469E-16"/>
                  <c:y val="-1.8912529550827426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74EE-474B-A9B4-D40BB1D200CE}"/>
                </c:ext>
              </c:extLst>
            </c:dLbl>
            <c:dLbl>
              <c:idx val="14"/>
              <c:layout>
                <c:manualLayout>
                  <c:x val="-1.6026118088797831E-3"/>
                  <c:y val="-1.2608353033884951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74EE-474B-A9B4-D40BB1D200CE}"/>
                </c:ext>
              </c:extLst>
            </c:dLbl>
            <c:dLbl>
              <c:idx val="15"/>
              <c:layout>
                <c:manualLayout>
                  <c:x val="0"/>
                  <c:y val="-2.8368794326241134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74EE-474B-A9B4-D40BB1D200CE}"/>
                </c:ext>
              </c:extLst>
            </c:dLbl>
            <c:spPr>
              <a:noFill/>
              <a:ln w="25400">
                <a:noFill/>
              </a:ln>
            </c:spPr>
            <c:txPr>
              <a:bodyPr rot="0" vert="horz"/>
              <a:lstStyle/>
              <a:p>
                <a:pPr>
                  <a:defRPr sz="600"/>
                </a:pPr>
                <a:endParaRPr lang="pt-BR"/>
              </a:p>
            </c:txPr>
            <c:showVal val="1"/>
            <c:extLst xmlns:c16r2="http://schemas.microsoft.com/office/drawing/2015/06/chart">
              <c:ext xmlns:c15="http://schemas.microsoft.com/office/drawing/2012/chart" uri="{CE6537A1-D6FC-4f65-9D91-7224C49458BB}">
                <c15:showLeaderLines val="0"/>
              </c:ext>
            </c:extLst>
          </c:dLbls>
          <c:val>
            <c:numRef>
              <c:f>NFSP!$A$43:$A$64</c:f>
              <c:numCache>
                <c:formatCode>_(* #,##0.00_);_(* \(#,##0.00\);_(* "-"??_);_(@_)</c:formatCode>
                <c:ptCount val="22"/>
                <c:pt idx="0">
                  <c:v>8.42</c:v>
                </c:pt>
                <c:pt idx="1">
                  <c:v>6.56</c:v>
                </c:pt>
                <c:pt idx="2">
                  <c:v>7.28</c:v>
                </c:pt>
                <c:pt idx="3">
                  <c:v>6.72</c:v>
                </c:pt>
                <c:pt idx="4">
                  <c:v>5.98</c:v>
                </c:pt>
                <c:pt idx="5">
                  <c:v>5.3199999999999994</c:v>
                </c:pt>
                <c:pt idx="6">
                  <c:v>5.13</c:v>
                </c:pt>
                <c:pt idx="7">
                  <c:v>5.03</c:v>
                </c:pt>
                <c:pt idx="8">
                  <c:v>5.41</c:v>
                </c:pt>
                <c:pt idx="9">
                  <c:v>4.4400000000000004</c:v>
                </c:pt>
                <c:pt idx="10">
                  <c:v>4.67</c:v>
                </c:pt>
                <c:pt idx="11">
                  <c:v>5.39</c:v>
                </c:pt>
                <c:pt idx="12">
                  <c:v>8.3700000000000028</c:v>
                </c:pt>
                <c:pt idx="13">
                  <c:v>6.49</c:v>
                </c:pt>
                <c:pt idx="14">
                  <c:v>6.09</c:v>
                </c:pt>
                <c:pt idx="15">
                  <c:v>5.5</c:v>
                </c:pt>
                <c:pt idx="16">
                  <c:v>5.0599999999999996</c:v>
                </c:pt>
                <c:pt idx="17">
                  <c:v>4.1099999999999994</c:v>
                </c:pt>
                <c:pt idx="18">
                  <c:v>4.9800000000000004</c:v>
                </c:pt>
                <c:pt idx="19">
                  <c:v>5.8199999999999994</c:v>
                </c:pt>
                <c:pt idx="20">
                  <c:v>6.6199999999999992</c:v>
                </c:pt>
                <c:pt idx="21" formatCode="General">
                  <c:v>7.95</c:v>
                </c:pt>
              </c:numCache>
            </c:numRef>
          </c:val>
          <c:extLst xmlns:c16r2="http://schemas.microsoft.com/office/drawing/2015/06/chart">
            <c:ext xmlns:c16="http://schemas.microsoft.com/office/drawing/2014/chart" uri="{C3380CC4-5D6E-409C-BE32-E72D297353CC}">
              <c16:uniqueId val="{00000012-74EE-474B-A9B4-D40BB1D200CE}"/>
            </c:ext>
          </c:extLst>
        </c:ser>
        <c:ser>
          <c:idx val="3"/>
          <c:order val="3"/>
          <c:tx>
            <c:strRef>
              <c:f>NFSP!$B$42</c:f>
              <c:strCache>
                <c:ptCount val="1"/>
                <c:pt idx="0">
                  <c:v>Resultado Primário</c:v>
                </c:pt>
              </c:strCache>
            </c:strRef>
          </c:tx>
          <c:spPr>
            <a:ln w="25400">
              <a:solidFill>
                <a:srgbClr val="FF0000"/>
              </a:solidFill>
              <a:prstDash val="solid"/>
            </a:ln>
          </c:spPr>
          <c:marker>
            <c:symbol val="none"/>
          </c:marker>
          <c:dLbls>
            <c:dLbl>
              <c:idx val="0"/>
              <c:layout>
                <c:manualLayout>
                  <c:x val="-1.8491603324363528E-2"/>
                  <c:y val="2.7339821728578278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3-74EE-474B-A9B4-D40BB1D200CE}"/>
                </c:ext>
              </c:extLst>
            </c:dLbl>
            <c:dLbl>
              <c:idx val="1"/>
              <c:layout>
                <c:manualLayout>
                  <c:x val="-3.2520319255156686E-2"/>
                  <c:y val="3.0495548663745365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4-74EE-474B-A9B4-D40BB1D200CE}"/>
                </c:ext>
              </c:extLst>
            </c:dLbl>
            <c:dLbl>
              <c:idx val="2"/>
              <c:layout>
                <c:manualLayout>
                  <c:x val="-3.4843199201953577E-2"/>
                  <c:y val="3.0495548663745365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5-74EE-474B-A9B4-D40BB1D200CE}"/>
                </c:ext>
              </c:extLst>
            </c:dLbl>
            <c:dLbl>
              <c:idx val="3"/>
              <c:layout>
                <c:manualLayout>
                  <c:x val="-4.4134718989141238E-2"/>
                  <c:y val="3.3883942959717202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6-74EE-474B-A9B4-D40BB1D200CE}"/>
                </c:ext>
              </c:extLst>
            </c:dLbl>
            <c:dLbl>
              <c:idx val="4"/>
              <c:layout>
                <c:manualLayout>
                  <c:x val="-4.1811839042344284E-2"/>
                  <c:y val="3.0495548663745365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7-74EE-474B-A9B4-D40BB1D200CE}"/>
                </c:ext>
              </c:extLst>
            </c:dLbl>
            <c:dLbl>
              <c:idx val="5"/>
              <c:layout>
                <c:manualLayout>
                  <c:x val="-4.4134718989141286E-2"/>
                  <c:y val="3.3883942959717077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8-74EE-474B-A9B4-D40BB1D200CE}"/>
                </c:ext>
              </c:extLst>
            </c:dLbl>
            <c:dLbl>
              <c:idx val="6"/>
              <c:layout>
                <c:manualLayout>
                  <c:x val="-4.6457598935938177E-2"/>
                  <c:y val="2.3718760071801941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9-74EE-474B-A9B4-D40BB1D200CE}"/>
                </c:ext>
              </c:extLst>
            </c:dLbl>
            <c:dLbl>
              <c:idx val="7"/>
              <c:layout>
                <c:manualLayout>
                  <c:x val="-3.4843199201953577E-2"/>
                  <c:y val="3.0495548663745365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A-74EE-474B-A9B4-D40BB1D200CE}"/>
                </c:ext>
              </c:extLst>
            </c:dLbl>
            <c:dLbl>
              <c:idx val="8"/>
              <c:layout>
                <c:manualLayout>
                  <c:x val="-3.7166038100311084E-2"/>
                  <c:y val="3.0960812441775787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B-74EE-474B-A9B4-D40BB1D200CE}"/>
                </c:ext>
              </c:extLst>
            </c:dLbl>
            <c:dLbl>
              <c:idx val="9"/>
              <c:layout>
                <c:manualLayout>
                  <c:x val="-3.2520319255156749E-2"/>
                  <c:y val="3.0495548663745365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C-74EE-474B-A9B4-D40BB1D200CE}"/>
                </c:ext>
              </c:extLst>
            </c:dLbl>
            <c:dLbl>
              <c:idx val="10"/>
              <c:layout>
                <c:manualLayout>
                  <c:x val="-4.2958088886396649E-2"/>
                  <c:y val="2.8037580575864758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D-74EE-474B-A9B4-D40BB1D200CE}"/>
                </c:ext>
              </c:extLst>
            </c:dLbl>
            <c:dLbl>
              <c:idx val="11"/>
              <c:layout>
                <c:manualLayout>
                  <c:x val="-3.7678159053994104E-2"/>
                  <c:y val="1.7872367283558597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E-74EE-474B-A9B4-D40BB1D200CE}"/>
                </c:ext>
              </c:extLst>
            </c:dLbl>
            <c:dLbl>
              <c:idx val="12"/>
              <c:layout>
                <c:manualLayout>
                  <c:x val="-1.7375876802188488E-2"/>
                  <c:y val="2.7804994293435931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F-74EE-474B-A9B4-D40BB1D200CE}"/>
                </c:ext>
              </c:extLst>
            </c:dLbl>
            <c:dLbl>
              <c:idx val="14"/>
              <c:layout>
                <c:manualLayout>
                  <c:x val="0"/>
                  <c:y val="3.1520882584712376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20-74EE-474B-A9B4-D40BB1D200CE}"/>
                </c:ext>
              </c:extLst>
            </c:dLbl>
            <c:dLbl>
              <c:idx val="15"/>
              <c:layout>
                <c:manualLayout>
                  <c:x val="0"/>
                  <c:y val="2.5216706067769903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21-74EE-474B-A9B4-D40BB1D200CE}"/>
                </c:ext>
              </c:extLst>
            </c:dLbl>
            <c:dLbl>
              <c:idx val="21"/>
              <c:layout>
                <c:manualLayout>
                  <c:x val="-1.3522650439486146E-3"/>
                  <c:y val="-6.873977086743045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22-74EE-474B-A9B4-D40BB1D200CE}"/>
                </c:ext>
              </c:extLst>
            </c:dLbl>
            <c:spPr>
              <a:noFill/>
              <a:ln w="25400">
                <a:noFill/>
              </a:ln>
            </c:spPr>
            <c:txPr>
              <a:bodyPr rot="0" vert="horz"/>
              <a:lstStyle/>
              <a:p>
                <a:pPr>
                  <a:defRPr sz="600"/>
                </a:pPr>
                <a:endParaRPr lang="pt-BR"/>
              </a:p>
            </c:txPr>
            <c:showVal val="1"/>
            <c:extLst xmlns:c16r2="http://schemas.microsoft.com/office/drawing/2015/06/chart">
              <c:ext xmlns:c15="http://schemas.microsoft.com/office/drawing/2012/chart" uri="{CE6537A1-D6FC-4f65-9D91-7224C49458BB}">
                <c15:showLeaderLines val="0"/>
              </c:ext>
            </c:extLst>
          </c:dLbls>
          <c:val>
            <c:numRef>
              <c:f>NFSP!$B$43:$B$64</c:f>
              <c:numCache>
                <c:formatCode>_(* #,##0.00_);_(* \(#,##0.00\);_(* "-"??_);_(@_)</c:formatCode>
                <c:ptCount val="22"/>
                <c:pt idx="0">
                  <c:v>3.24</c:v>
                </c:pt>
                <c:pt idx="1">
                  <c:v>3.69</c:v>
                </c:pt>
                <c:pt idx="2">
                  <c:v>3.74</c:v>
                </c:pt>
                <c:pt idx="3">
                  <c:v>3.15</c:v>
                </c:pt>
                <c:pt idx="4">
                  <c:v>3.24</c:v>
                </c:pt>
                <c:pt idx="5">
                  <c:v>3.3299999999999996</c:v>
                </c:pt>
                <c:pt idx="6">
                  <c:v>1.95</c:v>
                </c:pt>
                <c:pt idx="7">
                  <c:v>2.62</c:v>
                </c:pt>
                <c:pt idx="8">
                  <c:v>2.94</c:v>
                </c:pt>
                <c:pt idx="9">
                  <c:v>2.1800000000000002</c:v>
                </c:pt>
                <c:pt idx="10">
                  <c:v>1.7100000000000002</c:v>
                </c:pt>
                <c:pt idx="11">
                  <c:v>-0.56000000000000005</c:v>
                </c:pt>
                <c:pt idx="12">
                  <c:v>-1.86</c:v>
                </c:pt>
                <c:pt idx="13">
                  <c:v>-2.48</c:v>
                </c:pt>
                <c:pt idx="14">
                  <c:v>-1.6800000000000002</c:v>
                </c:pt>
                <c:pt idx="15">
                  <c:v>-1.55</c:v>
                </c:pt>
                <c:pt idx="16">
                  <c:v>-0.84000000000000008</c:v>
                </c:pt>
                <c:pt idx="17">
                  <c:v>-9.2399999999999984</c:v>
                </c:pt>
                <c:pt idx="18">
                  <c:v>0.72000000000000008</c:v>
                </c:pt>
                <c:pt idx="19">
                  <c:v>1.25</c:v>
                </c:pt>
                <c:pt idx="20">
                  <c:v>-2.29</c:v>
                </c:pt>
                <c:pt idx="21">
                  <c:v>-1.1399999999999997</c:v>
                </c:pt>
              </c:numCache>
            </c:numRef>
          </c:val>
          <c:extLst xmlns:c16r2="http://schemas.microsoft.com/office/drawing/2015/06/chart">
            <c:ext xmlns:c16="http://schemas.microsoft.com/office/drawing/2014/chart" uri="{C3380CC4-5D6E-409C-BE32-E72D297353CC}">
              <c16:uniqueId val="{00000023-74EE-474B-A9B4-D40BB1D200CE}"/>
            </c:ext>
          </c:extLst>
        </c:ser>
        <c:dLbls/>
        <c:marker val="1"/>
        <c:axId val="78108544"/>
        <c:axId val="71200768"/>
      </c:lineChart>
      <c:catAx>
        <c:axId val="78108544"/>
        <c:scaling>
          <c:orientation val="minMax"/>
        </c:scaling>
        <c:axPos val="b"/>
        <c:title>
          <c:tx>
            <c:rich>
              <a:bodyPr rot="0" vert="horz"/>
              <a:lstStyle/>
              <a:p>
                <a:pPr>
                  <a:defRPr/>
                </a:pPr>
                <a:r>
                  <a:rPr lang="en-US"/>
                  <a:t>ANO</a:t>
                </a:r>
              </a:p>
            </c:rich>
          </c:tx>
          <c:layout>
            <c:manualLayout>
              <c:xMode val="edge"/>
              <c:yMode val="edge"/>
              <c:x val="0.4687269532879389"/>
              <c:y val="0.85605248103585396"/>
            </c:manualLayout>
          </c:layout>
          <c:spPr>
            <a:noFill/>
            <a:ln w="25400">
              <a:noFill/>
            </a:ln>
          </c:spPr>
        </c:title>
        <c:numFmt formatCode="General" sourceLinked="1"/>
        <c:tickLblPos val="low"/>
        <c:spPr>
          <a:noFill/>
          <a:ln w="12700" cap="flat" cmpd="sng" algn="ctr">
            <a:solidFill>
              <a:schemeClr val="tx1"/>
            </a:solidFill>
            <a:prstDash val="dash"/>
            <a:round/>
          </a:ln>
          <a:effectLst/>
        </c:spPr>
        <c:txPr>
          <a:bodyPr rot="-60000000" vert="horz"/>
          <a:lstStyle/>
          <a:p>
            <a:pPr>
              <a:defRPr sz="700"/>
            </a:pPr>
            <a:endParaRPr lang="pt-BR"/>
          </a:p>
        </c:txPr>
        <c:crossAx val="71200768"/>
        <c:crossesAt val="0"/>
        <c:auto val="1"/>
        <c:lblAlgn val="ctr"/>
        <c:lblOffset val="100"/>
      </c:catAx>
      <c:valAx>
        <c:axId val="71200768"/>
        <c:scaling>
          <c:orientation val="minMax"/>
        </c:scaling>
        <c:axPos val="l"/>
        <c:title>
          <c:tx>
            <c:rich>
              <a:bodyPr rot="-5400000" vert="horz"/>
              <a:lstStyle/>
              <a:p>
                <a:pPr>
                  <a:defRPr/>
                </a:pPr>
                <a:r>
                  <a:rPr lang="en-US"/>
                  <a:t> %PIB</a:t>
                </a:r>
              </a:p>
            </c:rich>
          </c:tx>
          <c:spPr>
            <a:noFill/>
            <a:ln w="25400">
              <a:noFill/>
            </a:ln>
          </c:spPr>
        </c:title>
        <c:numFmt formatCode="_(* #,##0_);_(* \(#,##0\);_(* &quot;-&quot;_);_(@_)" sourceLinked="0"/>
        <c:majorTickMark val="none"/>
        <c:tickLblPos val="low"/>
        <c:spPr>
          <a:noFill/>
          <a:ln w="12700">
            <a:solidFill>
              <a:schemeClr val="tx1"/>
            </a:solidFill>
          </a:ln>
          <a:effectLst/>
        </c:spPr>
        <c:txPr>
          <a:bodyPr rot="-60000000" vert="horz"/>
          <a:lstStyle/>
          <a:p>
            <a:pPr>
              <a:defRPr sz="700"/>
            </a:pPr>
            <a:endParaRPr lang="pt-BR"/>
          </a:p>
        </c:txPr>
        <c:crossAx val="78108544"/>
        <c:crossesAt val="1"/>
        <c:crossBetween val="midCat"/>
      </c:valAx>
      <c:spPr>
        <a:noFill/>
        <a:ln w="25400">
          <a:noFill/>
        </a:ln>
      </c:spPr>
    </c:plotArea>
    <c:legend>
      <c:legendPos val="b"/>
      <c:legendEntry>
        <c:idx val="0"/>
        <c:delete val="1"/>
      </c:legendEntry>
      <c:legendEntry>
        <c:idx val="2"/>
        <c:delete val="1"/>
      </c:legendEntry>
      <c:layout>
        <c:manualLayout>
          <c:xMode val="edge"/>
          <c:yMode val="edge"/>
          <c:x val="8.1184442683114144E-2"/>
          <c:y val="0.92180400072554425"/>
          <c:w val="0.49655184344863068"/>
          <c:h val="5.400981996726674E-2"/>
        </c:manualLayout>
      </c:layout>
      <c:spPr>
        <a:noFill/>
        <a:ln w="25400">
          <a:noFill/>
        </a:ln>
      </c:spPr>
      <c:txPr>
        <a:bodyPr rot="0" vert="horz"/>
        <a:lstStyle/>
        <a:p>
          <a:pPr>
            <a:defRPr/>
          </a:pPr>
          <a:endParaRPr lang="pt-BR"/>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sz="800"/>
      </a:pPr>
      <a:endParaRPr lang="pt-BR"/>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pt-BR"/>
  <c:chart>
    <c:plotArea>
      <c:layout>
        <c:manualLayout>
          <c:layoutTarget val="inner"/>
          <c:xMode val="edge"/>
          <c:yMode val="edge"/>
          <c:x val="0.14965074413188176"/>
          <c:y val="0.10937500000000001"/>
          <c:w val="0.76194659324610281"/>
          <c:h val="0.6875"/>
        </c:manualLayout>
      </c:layout>
      <c:lineChart>
        <c:grouping val="standard"/>
        <c:ser>
          <c:idx val="0"/>
          <c:order val="0"/>
          <c:marker>
            <c:symbol val="none"/>
          </c:marker>
          <c:cat>
            <c:numRef>
              <c:f>'Dólar 2024'!$A$1:$A$196</c:f>
              <c:numCache>
                <c:formatCode>m/d/yyyy</c:formatCode>
                <c:ptCount val="196"/>
                <c:pt idx="0">
                  <c:v>45293</c:v>
                </c:pt>
                <c:pt idx="1">
                  <c:v>45294</c:v>
                </c:pt>
                <c:pt idx="2">
                  <c:v>45295</c:v>
                </c:pt>
                <c:pt idx="3">
                  <c:v>45296</c:v>
                </c:pt>
                <c:pt idx="4">
                  <c:v>45299</c:v>
                </c:pt>
                <c:pt idx="5">
                  <c:v>45300</c:v>
                </c:pt>
                <c:pt idx="6">
                  <c:v>45301</c:v>
                </c:pt>
                <c:pt idx="7">
                  <c:v>45302</c:v>
                </c:pt>
                <c:pt idx="8">
                  <c:v>45303</c:v>
                </c:pt>
                <c:pt idx="9">
                  <c:v>45306</c:v>
                </c:pt>
                <c:pt idx="10">
                  <c:v>45307</c:v>
                </c:pt>
                <c:pt idx="11">
                  <c:v>45308</c:v>
                </c:pt>
                <c:pt idx="12">
                  <c:v>45309</c:v>
                </c:pt>
                <c:pt idx="13">
                  <c:v>45310</c:v>
                </c:pt>
                <c:pt idx="14">
                  <c:v>45313</c:v>
                </c:pt>
                <c:pt idx="15">
                  <c:v>45314</c:v>
                </c:pt>
                <c:pt idx="16">
                  <c:v>45315</c:v>
                </c:pt>
                <c:pt idx="17">
                  <c:v>45316</c:v>
                </c:pt>
                <c:pt idx="18">
                  <c:v>45317</c:v>
                </c:pt>
                <c:pt idx="19">
                  <c:v>45320</c:v>
                </c:pt>
                <c:pt idx="20">
                  <c:v>45321</c:v>
                </c:pt>
                <c:pt idx="21">
                  <c:v>45322</c:v>
                </c:pt>
                <c:pt idx="22">
                  <c:v>45323</c:v>
                </c:pt>
                <c:pt idx="23">
                  <c:v>45324</c:v>
                </c:pt>
                <c:pt idx="24">
                  <c:v>45327</c:v>
                </c:pt>
                <c:pt idx="25">
                  <c:v>45328</c:v>
                </c:pt>
                <c:pt idx="26">
                  <c:v>45329</c:v>
                </c:pt>
                <c:pt idx="27">
                  <c:v>45330</c:v>
                </c:pt>
                <c:pt idx="28">
                  <c:v>45331</c:v>
                </c:pt>
                <c:pt idx="29">
                  <c:v>45336</c:v>
                </c:pt>
                <c:pt idx="30">
                  <c:v>45337</c:v>
                </c:pt>
                <c:pt idx="31">
                  <c:v>45338</c:v>
                </c:pt>
                <c:pt idx="32">
                  <c:v>45341</c:v>
                </c:pt>
                <c:pt idx="33">
                  <c:v>45342</c:v>
                </c:pt>
                <c:pt idx="34">
                  <c:v>45343</c:v>
                </c:pt>
                <c:pt idx="35">
                  <c:v>45344</c:v>
                </c:pt>
                <c:pt idx="36">
                  <c:v>45345</c:v>
                </c:pt>
                <c:pt idx="37">
                  <c:v>45348</c:v>
                </c:pt>
                <c:pt idx="38">
                  <c:v>45349</c:v>
                </c:pt>
                <c:pt idx="39">
                  <c:v>45350</c:v>
                </c:pt>
                <c:pt idx="40">
                  <c:v>45351</c:v>
                </c:pt>
                <c:pt idx="41">
                  <c:v>45352</c:v>
                </c:pt>
                <c:pt idx="42">
                  <c:v>45355</c:v>
                </c:pt>
                <c:pt idx="43">
                  <c:v>45356</c:v>
                </c:pt>
                <c:pt idx="44">
                  <c:v>45357</c:v>
                </c:pt>
                <c:pt idx="45">
                  <c:v>45358</c:v>
                </c:pt>
                <c:pt idx="46">
                  <c:v>45359</c:v>
                </c:pt>
                <c:pt idx="47">
                  <c:v>45362</c:v>
                </c:pt>
                <c:pt idx="48">
                  <c:v>45363</c:v>
                </c:pt>
                <c:pt idx="49">
                  <c:v>45364</c:v>
                </c:pt>
                <c:pt idx="50">
                  <c:v>45365</c:v>
                </c:pt>
                <c:pt idx="51">
                  <c:v>45366</c:v>
                </c:pt>
                <c:pt idx="52">
                  <c:v>45369</c:v>
                </c:pt>
                <c:pt idx="53">
                  <c:v>45370</c:v>
                </c:pt>
                <c:pt idx="54">
                  <c:v>45371</c:v>
                </c:pt>
                <c:pt idx="55">
                  <c:v>45372</c:v>
                </c:pt>
                <c:pt idx="56">
                  <c:v>45373</c:v>
                </c:pt>
                <c:pt idx="57">
                  <c:v>45376</c:v>
                </c:pt>
                <c:pt idx="58">
                  <c:v>45377</c:v>
                </c:pt>
                <c:pt idx="59">
                  <c:v>45378</c:v>
                </c:pt>
                <c:pt idx="60">
                  <c:v>45379</c:v>
                </c:pt>
                <c:pt idx="61">
                  <c:v>45383</c:v>
                </c:pt>
                <c:pt idx="62">
                  <c:v>45384</c:v>
                </c:pt>
                <c:pt idx="63">
                  <c:v>45385</c:v>
                </c:pt>
                <c:pt idx="64">
                  <c:v>45386</c:v>
                </c:pt>
                <c:pt idx="65">
                  <c:v>45387</c:v>
                </c:pt>
                <c:pt idx="66">
                  <c:v>45390</c:v>
                </c:pt>
                <c:pt idx="67">
                  <c:v>45391</c:v>
                </c:pt>
                <c:pt idx="68">
                  <c:v>45392</c:v>
                </c:pt>
                <c:pt idx="69">
                  <c:v>45393</c:v>
                </c:pt>
                <c:pt idx="70">
                  <c:v>45394</c:v>
                </c:pt>
                <c:pt idx="71">
                  <c:v>45397</c:v>
                </c:pt>
                <c:pt idx="72">
                  <c:v>45398</c:v>
                </c:pt>
                <c:pt idx="73">
                  <c:v>45399</c:v>
                </c:pt>
                <c:pt idx="74">
                  <c:v>45400</c:v>
                </c:pt>
                <c:pt idx="75">
                  <c:v>45401</c:v>
                </c:pt>
                <c:pt idx="76">
                  <c:v>45404</c:v>
                </c:pt>
                <c:pt idx="77">
                  <c:v>45405</c:v>
                </c:pt>
                <c:pt idx="78">
                  <c:v>45406</c:v>
                </c:pt>
                <c:pt idx="79">
                  <c:v>45407</c:v>
                </c:pt>
                <c:pt idx="80">
                  <c:v>45408</c:v>
                </c:pt>
                <c:pt idx="81">
                  <c:v>45411</c:v>
                </c:pt>
                <c:pt idx="82">
                  <c:v>45412</c:v>
                </c:pt>
                <c:pt idx="83">
                  <c:v>45414</c:v>
                </c:pt>
                <c:pt idx="84">
                  <c:v>45415</c:v>
                </c:pt>
                <c:pt idx="85">
                  <c:v>45418</c:v>
                </c:pt>
                <c:pt idx="86">
                  <c:v>45419</c:v>
                </c:pt>
                <c:pt idx="87">
                  <c:v>45420</c:v>
                </c:pt>
                <c:pt idx="88">
                  <c:v>45421</c:v>
                </c:pt>
                <c:pt idx="89">
                  <c:v>45422</c:v>
                </c:pt>
                <c:pt idx="90">
                  <c:v>45425</c:v>
                </c:pt>
                <c:pt idx="91">
                  <c:v>45426</c:v>
                </c:pt>
                <c:pt idx="92">
                  <c:v>45427</c:v>
                </c:pt>
                <c:pt idx="93">
                  <c:v>45428</c:v>
                </c:pt>
                <c:pt idx="94">
                  <c:v>45429</c:v>
                </c:pt>
                <c:pt idx="95">
                  <c:v>45432</c:v>
                </c:pt>
                <c:pt idx="96">
                  <c:v>45433</c:v>
                </c:pt>
                <c:pt idx="97">
                  <c:v>45434</c:v>
                </c:pt>
                <c:pt idx="98">
                  <c:v>45435</c:v>
                </c:pt>
                <c:pt idx="99">
                  <c:v>45436</c:v>
                </c:pt>
                <c:pt idx="100">
                  <c:v>45439</c:v>
                </c:pt>
                <c:pt idx="101">
                  <c:v>45440</c:v>
                </c:pt>
                <c:pt idx="102">
                  <c:v>45441</c:v>
                </c:pt>
                <c:pt idx="103">
                  <c:v>45443</c:v>
                </c:pt>
                <c:pt idx="104">
                  <c:v>45446</c:v>
                </c:pt>
                <c:pt idx="105">
                  <c:v>45447</c:v>
                </c:pt>
                <c:pt idx="106">
                  <c:v>45448</c:v>
                </c:pt>
                <c:pt idx="107">
                  <c:v>45449</c:v>
                </c:pt>
                <c:pt idx="108">
                  <c:v>45450</c:v>
                </c:pt>
                <c:pt idx="109">
                  <c:v>45453</c:v>
                </c:pt>
                <c:pt idx="110">
                  <c:v>45454</c:v>
                </c:pt>
                <c:pt idx="111">
                  <c:v>45455</c:v>
                </c:pt>
                <c:pt idx="112">
                  <c:v>45456</c:v>
                </c:pt>
                <c:pt idx="113">
                  <c:v>45457</c:v>
                </c:pt>
                <c:pt idx="114">
                  <c:v>45460</c:v>
                </c:pt>
                <c:pt idx="115">
                  <c:v>45461</c:v>
                </c:pt>
                <c:pt idx="116">
                  <c:v>45462</c:v>
                </c:pt>
                <c:pt idx="117">
                  <c:v>45463</c:v>
                </c:pt>
                <c:pt idx="118">
                  <c:v>45464</c:v>
                </c:pt>
                <c:pt idx="119">
                  <c:v>45467</c:v>
                </c:pt>
                <c:pt idx="120">
                  <c:v>45468</c:v>
                </c:pt>
                <c:pt idx="121">
                  <c:v>45469</c:v>
                </c:pt>
                <c:pt idx="122">
                  <c:v>45470</c:v>
                </c:pt>
                <c:pt idx="123">
                  <c:v>45471</c:v>
                </c:pt>
                <c:pt idx="124">
                  <c:v>45474</c:v>
                </c:pt>
                <c:pt idx="125">
                  <c:v>45475</c:v>
                </c:pt>
                <c:pt idx="126">
                  <c:v>45476</c:v>
                </c:pt>
                <c:pt idx="127">
                  <c:v>45477</c:v>
                </c:pt>
                <c:pt idx="128">
                  <c:v>45478</c:v>
                </c:pt>
                <c:pt idx="129">
                  <c:v>45481</c:v>
                </c:pt>
                <c:pt idx="130">
                  <c:v>45482</c:v>
                </c:pt>
                <c:pt idx="131">
                  <c:v>45483</c:v>
                </c:pt>
                <c:pt idx="132">
                  <c:v>45484</c:v>
                </c:pt>
                <c:pt idx="133">
                  <c:v>45485</c:v>
                </c:pt>
                <c:pt idx="134">
                  <c:v>45488</c:v>
                </c:pt>
                <c:pt idx="135">
                  <c:v>45489</c:v>
                </c:pt>
                <c:pt idx="136">
                  <c:v>45490</c:v>
                </c:pt>
                <c:pt idx="137">
                  <c:v>45491</c:v>
                </c:pt>
                <c:pt idx="138">
                  <c:v>45492</c:v>
                </c:pt>
                <c:pt idx="139">
                  <c:v>45495</c:v>
                </c:pt>
                <c:pt idx="140">
                  <c:v>45496</c:v>
                </c:pt>
                <c:pt idx="141">
                  <c:v>45497</c:v>
                </c:pt>
                <c:pt idx="142">
                  <c:v>45498</c:v>
                </c:pt>
                <c:pt idx="143">
                  <c:v>45499</c:v>
                </c:pt>
                <c:pt idx="144">
                  <c:v>45502</c:v>
                </c:pt>
                <c:pt idx="145">
                  <c:v>45503</c:v>
                </c:pt>
                <c:pt idx="146">
                  <c:v>45504</c:v>
                </c:pt>
                <c:pt idx="147">
                  <c:v>45505</c:v>
                </c:pt>
                <c:pt idx="148">
                  <c:v>45506</c:v>
                </c:pt>
                <c:pt idx="149">
                  <c:v>45509</c:v>
                </c:pt>
                <c:pt idx="150">
                  <c:v>45510</c:v>
                </c:pt>
                <c:pt idx="151">
                  <c:v>45511</c:v>
                </c:pt>
                <c:pt idx="152">
                  <c:v>45512</c:v>
                </c:pt>
                <c:pt idx="153">
                  <c:v>45513</c:v>
                </c:pt>
                <c:pt idx="154">
                  <c:v>45516</c:v>
                </c:pt>
                <c:pt idx="155">
                  <c:v>45517</c:v>
                </c:pt>
                <c:pt idx="156">
                  <c:v>45518</c:v>
                </c:pt>
                <c:pt idx="157">
                  <c:v>45519</c:v>
                </c:pt>
                <c:pt idx="158">
                  <c:v>45520</c:v>
                </c:pt>
                <c:pt idx="159">
                  <c:v>45523</c:v>
                </c:pt>
                <c:pt idx="160">
                  <c:v>45524</c:v>
                </c:pt>
                <c:pt idx="161">
                  <c:v>45525</c:v>
                </c:pt>
                <c:pt idx="162">
                  <c:v>45526</c:v>
                </c:pt>
                <c:pt idx="163">
                  <c:v>45527</c:v>
                </c:pt>
                <c:pt idx="164">
                  <c:v>45530</c:v>
                </c:pt>
                <c:pt idx="165">
                  <c:v>45531</c:v>
                </c:pt>
                <c:pt idx="166">
                  <c:v>45532</c:v>
                </c:pt>
                <c:pt idx="167">
                  <c:v>45533</c:v>
                </c:pt>
                <c:pt idx="168">
                  <c:v>45534</c:v>
                </c:pt>
                <c:pt idx="169">
                  <c:v>45537</c:v>
                </c:pt>
                <c:pt idx="170">
                  <c:v>45538</c:v>
                </c:pt>
                <c:pt idx="171">
                  <c:v>45539</c:v>
                </c:pt>
                <c:pt idx="172">
                  <c:v>45540</c:v>
                </c:pt>
                <c:pt idx="173">
                  <c:v>45541</c:v>
                </c:pt>
                <c:pt idx="174">
                  <c:v>45544</c:v>
                </c:pt>
                <c:pt idx="175">
                  <c:v>45545</c:v>
                </c:pt>
                <c:pt idx="176">
                  <c:v>45546</c:v>
                </c:pt>
                <c:pt idx="177">
                  <c:v>45547</c:v>
                </c:pt>
                <c:pt idx="178">
                  <c:v>45548</c:v>
                </c:pt>
                <c:pt idx="179">
                  <c:v>45551</c:v>
                </c:pt>
                <c:pt idx="180">
                  <c:v>45552</c:v>
                </c:pt>
                <c:pt idx="181">
                  <c:v>45553</c:v>
                </c:pt>
                <c:pt idx="182">
                  <c:v>45554</c:v>
                </c:pt>
                <c:pt idx="183">
                  <c:v>45555</c:v>
                </c:pt>
                <c:pt idx="184">
                  <c:v>45558</c:v>
                </c:pt>
                <c:pt idx="185">
                  <c:v>45559</c:v>
                </c:pt>
                <c:pt idx="186">
                  <c:v>45560</c:v>
                </c:pt>
                <c:pt idx="187">
                  <c:v>45561</c:v>
                </c:pt>
                <c:pt idx="188">
                  <c:v>45562</c:v>
                </c:pt>
                <c:pt idx="189">
                  <c:v>45565</c:v>
                </c:pt>
                <c:pt idx="190">
                  <c:v>45566</c:v>
                </c:pt>
                <c:pt idx="191">
                  <c:v>45567</c:v>
                </c:pt>
                <c:pt idx="192">
                  <c:v>45568</c:v>
                </c:pt>
                <c:pt idx="193">
                  <c:v>45569</c:v>
                </c:pt>
                <c:pt idx="194">
                  <c:v>45572</c:v>
                </c:pt>
                <c:pt idx="195">
                  <c:v>45573</c:v>
                </c:pt>
              </c:numCache>
            </c:numRef>
          </c:cat>
          <c:val>
            <c:numRef>
              <c:f>'Dólar 2024'!$C$1:$C$196</c:f>
              <c:numCache>
                <c:formatCode>General</c:formatCode>
                <c:ptCount val="196"/>
                <c:pt idx="0">
                  <c:v>4.8916000000000004</c:v>
                </c:pt>
                <c:pt idx="1">
                  <c:v>4.9211999999999998</c:v>
                </c:pt>
                <c:pt idx="2">
                  <c:v>4.9188000000000001</c:v>
                </c:pt>
                <c:pt idx="3">
                  <c:v>4.8898999999999999</c:v>
                </c:pt>
                <c:pt idx="4">
                  <c:v>4.8849999999999989</c:v>
                </c:pt>
                <c:pt idx="5">
                  <c:v>4.8936999999999999</c:v>
                </c:pt>
                <c:pt idx="6">
                  <c:v>4.8900999999999994</c:v>
                </c:pt>
                <c:pt idx="7">
                  <c:v>4.8794000000000004</c:v>
                </c:pt>
                <c:pt idx="8">
                  <c:v>4.8542999999999994</c:v>
                </c:pt>
                <c:pt idx="9">
                  <c:v>4.8765000000000001</c:v>
                </c:pt>
                <c:pt idx="10">
                  <c:v>4.9038000000000004</c:v>
                </c:pt>
                <c:pt idx="11">
                  <c:v>4.9345999999999997</c:v>
                </c:pt>
                <c:pt idx="12">
                  <c:v>4.9403000000000006</c:v>
                </c:pt>
                <c:pt idx="13">
                  <c:v>4.9222999999999999</c:v>
                </c:pt>
                <c:pt idx="14">
                  <c:v>4.9489999999999998</c:v>
                </c:pt>
                <c:pt idx="15">
                  <c:v>4.9715000000000007</c:v>
                </c:pt>
                <c:pt idx="16">
                  <c:v>4.9192000000000009</c:v>
                </c:pt>
                <c:pt idx="17">
                  <c:v>4.9231999999999996</c:v>
                </c:pt>
                <c:pt idx="18">
                  <c:v>4.9124999999999996</c:v>
                </c:pt>
                <c:pt idx="19">
                  <c:v>4.9224999999999994</c:v>
                </c:pt>
                <c:pt idx="20">
                  <c:v>4.9638</c:v>
                </c:pt>
                <c:pt idx="21">
                  <c:v>4.9535</c:v>
                </c:pt>
                <c:pt idx="22">
                  <c:v>4.9349999999999996</c:v>
                </c:pt>
                <c:pt idx="23">
                  <c:v>4.9470999999999998</c:v>
                </c:pt>
                <c:pt idx="24">
                  <c:v>5.0053000000000001</c:v>
                </c:pt>
                <c:pt idx="25">
                  <c:v>4.9687000000000001</c:v>
                </c:pt>
                <c:pt idx="26">
                  <c:v>4.9607999999999999</c:v>
                </c:pt>
                <c:pt idx="27">
                  <c:v>4.9804000000000004</c:v>
                </c:pt>
                <c:pt idx="28">
                  <c:v>4.9717000000000011</c:v>
                </c:pt>
                <c:pt idx="29">
                  <c:v>4.9723000000000006</c:v>
                </c:pt>
                <c:pt idx="30">
                  <c:v>4.971000000000001</c:v>
                </c:pt>
                <c:pt idx="31">
                  <c:v>4.9761000000000006</c:v>
                </c:pt>
                <c:pt idx="32">
                  <c:v>4.9584999999999999</c:v>
                </c:pt>
                <c:pt idx="33">
                  <c:v>4.9408000000000003</c:v>
                </c:pt>
                <c:pt idx="34">
                  <c:v>4.9303000000000008</c:v>
                </c:pt>
                <c:pt idx="35">
                  <c:v>4.9419000000000004</c:v>
                </c:pt>
                <c:pt idx="36">
                  <c:v>4.9851000000000001</c:v>
                </c:pt>
                <c:pt idx="37">
                  <c:v>4.9819000000000004</c:v>
                </c:pt>
                <c:pt idx="38">
                  <c:v>4.9574999999999996</c:v>
                </c:pt>
                <c:pt idx="39">
                  <c:v>4.9557000000000002</c:v>
                </c:pt>
                <c:pt idx="40">
                  <c:v>4.9833000000000007</c:v>
                </c:pt>
                <c:pt idx="41">
                  <c:v>4.9596000000000009</c:v>
                </c:pt>
                <c:pt idx="42">
                  <c:v>4.9474999999999998</c:v>
                </c:pt>
                <c:pt idx="43">
                  <c:v>4.9488000000000003</c:v>
                </c:pt>
                <c:pt idx="44">
                  <c:v>4.9398000000000009</c:v>
                </c:pt>
                <c:pt idx="45">
                  <c:v>4.9364000000000008</c:v>
                </c:pt>
                <c:pt idx="46">
                  <c:v>4.9751000000000003</c:v>
                </c:pt>
                <c:pt idx="47">
                  <c:v>4.9777000000000005</c:v>
                </c:pt>
                <c:pt idx="48">
                  <c:v>4.9813000000000009</c:v>
                </c:pt>
                <c:pt idx="49">
                  <c:v>4.9803000000000006</c:v>
                </c:pt>
                <c:pt idx="50">
                  <c:v>4.9768000000000008</c:v>
                </c:pt>
                <c:pt idx="51">
                  <c:v>4.9937000000000005</c:v>
                </c:pt>
                <c:pt idx="52">
                  <c:v>5.0123999999999995</c:v>
                </c:pt>
                <c:pt idx="53">
                  <c:v>5.0351999999999997</c:v>
                </c:pt>
                <c:pt idx="54">
                  <c:v>5.0119999999999996</c:v>
                </c:pt>
                <c:pt idx="55">
                  <c:v>4.9807000000000006</c:v>
                </c:pt>
                <c:pt idx="56">
                  <c:v>4.9897000000000009</c:v>
                </c:pt>
                <c:pt idx="57">
                  <c:v>4.9869000000000003</c:v>
                </c:pt>
                <c:pt idx="58">
                  <c:v>4.9870000000000001</c:v>
                </c:pt>
                <c:pt idx="59">
                  <c:v>4.9855999999999998</c:v>
                </c:pt>
                <c:pt idx="60">
                  <c:v>4.9962000000000009</c:v>
                </c:pt>
                <c:pt idx="61">
                  <c:v>5.0532000000000004</c:v>
                </c:pt>
                <c:pt idx="62">
                  <c:v>5.0476000000000001</c:v>
                </c:pt>
                <c:pt idx="63">
                  <c:v>5.0724</c:v>
                </c:pt>
                <c:pt idx="64">
                  <c:v>5.0236999999999998</c:v>
                </c:pt>
                <c:pt idx="65">
                  <c:v>5.0519999999999996</c:v>
                </c:pt>
                <c:pt idx="66">
                  <c:v>5.0420999999999996</c:v>
                </c:pt>
                <c:pt idx="67">
                  <c:v>5.008</c:v>
                </c:pt>
                <c:pt idx="68">
                  <c:v>5.0653999999999995</c:v>
                </c:pt>
                <c:pt idx="69">
                  <c:v>5.0765000000000002</c:v>
                </c:pt>
                <c:pt idx="70">
                  <c:v>5.1364000000000001</c:v>
                </c:pt>
                <c:pt idx="71">
                  <c:v>5.174599999999999</c:v>
                </c:pt>
                <c:pt idx="72">
                  <c:v>5.2634999999999996</c:v>
                </c:pt>
                <c:pt idx="73">
                  <c:v>5.2469000000000001</c:v>
                </c:pt>
                <c:pt idx="74">
                  <c:v>5.2511999999999999</c:v>
                </c:pt>
                <c:pt idx="75">
                  <c:v>5.2268999999999997</c:v>
                </c:pt>
                <c:pt idx="76">
                  <c:v>5.2042999999999999</c:v>
                </c:pt>
                <c:pt idx="77">
                  <c:v>5.1625999999999994</c:v>
                </c:pt>
                <c:pt idx="78">
                  <c:v>5.1592000000000002</c:v>
                </c:pt>
                <c:pt idx="79">
                  <c:v>5.1678999999999986</c:v>
                </c:pt>
                <c:pt idx="80">
                  <c:v>5.1183999999999994</c:v>
                </c:pt>
                <c:pt idx="81">
                  <c:v>5.115499999999999</c:v>
                </c:pt>
                <c:pt idx="82">
                  <c:v>5.1718000000000002</c:v>
                </c:pt>
                <c:pt idx="83">
                  <c:v>5.1183999999999994</c:v>
                </c:pt>
                <c:pt idx="84">
                  <c:v>5.0667999999999997</c:v>
                </c:pt>
                <c:pt idx="85">
                  <c:v>5.0727000000000002</c:v>
                </c:pt>
                <c:pt idx="86">
                  <c:v>5.0609999999999991</c:v>
                </c:pt>
                <c:pt idx="87">
                  <c:v>5.0887000000000002</c:v>
                </c:pt>
                <c:pt idx="88">
                  <c:v>5.1576999999999993</c:v>
                </c:pt>
                <c:pt idx="89">
                  <c:v>5.1463999999999999</c:v>
                </c:pt>
                <c:pt idx="90">
                  <c:v>5.1412000000000004</c:v>
                </c:pt>
                <c:pt idx="91">
                  <c:v>5.1356000000000002</c:v>
                </c:pt>
                <c:pt idx="92">
                  <c:v>5.1422999999999996</c:v>
                </c:pt>
                <c:pt idx="93">
                  <c:v>5.1269999999999989</c:v>
                </c:pt>
                <c:pt idx="94">
                  <c:v>5.1156999999999995</c:v>
                </c:pt>
                <c:pt idx="95">
                  <c:v>5.1084999999999994</c:v>
                </c:pt>
                <c:pt idx="96">
                  <c:v>5.1036999999999999</c:v>
                </c:pt>
                <c:pt idx="97">
                  <c:v>5.150199999999999</c:v>
                </c:pt>
                <c:pt idx="98">
                  <c:v>5.1442999999999994</c:v>
                </c:pt>
                <c:pt idx="99">
                  <c:v>5.1507999999999994</c:v>
                </c:pt>
                <c:pt idx="100">
                  <c:v>5.1703999999999999</c:v>
                </c:pt>
                <c:pt idx="101">
                  <c:v>5.1537999999999995</c:v>
                </c:pt>
                <c:pt idx="102">
                  <c:v>5.1971999999999987</c:v>
                </c:pt>
                <c:pt idx="103">
                  <c:v>5.2416000000000009</c:v>
                </c:pt>
                <c:pt idx="104">
                  <c:v>5.2373000000000003</c:v>
                </c:pt>
                <c:pt idx="105">
                  <c:v>5.2686999999999999</c:v>
                </c:pt>
                <c:pt idx="106">
                  <c:v>5.2840999999999996</c:v>
                </c:pt>
                <c:pt idx="107">
                  <c:v>5.2680999999999996</c:v>
                </c:pt>
                <c:pt idx="108">
                  <c:v>5.2801999999999998</c:v>
                </c:pt>
                <c:pt idx="109">
                  <c:v>5.3666</c:v>
                </c:pt>
                <c:pt idx="110">
                  <c:v>5.3523999999999994</c:v>
                </c:pt>
                <c:pt idx="111">
                  <c:v>5.3891</c:v>
                </c:pt>
                <c:pt idx="112">
                  <c:v>5.3973999999999993</c:v>
                </c:pt>
                <c:pt idx="113">
                  <c:v>5.3629999999999995</c:v>
                </c:pt>
                <c:pt idx="114">
                  <c:v>5.4130000000000003</c:v>
                </c:pt>
                <c:pt idx="115">
                  <c:v>5.4074</c:v>
                </c:pt>
                <c:pt idx="116">
                  <c:v>5.4646999999999997</c:v>
                </c:pt>
                <c:pt idx="117">
                  <c:v>5.4253999999999998</c:v>
                </c:pt>
                <c:pt idx="118">
                  <c:v>5.4416000000000011</c:v>
                </c:pt>
                <c:pt idx="119">
                  <c:v>5.4</c:v>
                </c:pt>
                <c:pt idx="120">
                  <c:v>5.4290000000000003</c:v>
                </c:pt>
                <c:pt idx="121">
                  <c:v>5.5097000000000005</c:v>
                </c:pt>
                <c:pt idx="122">
                  <c:v>5.522899999999999</c:v>
                </c:pt>
                <c:pt idx="123">
                  <c:v>5.5588999999999995</c:v>
                </c:pt>
                <c:pt idx="124">
                  <c:v>5.5893000000000006</c:v>
                </c:pt>
                <c:pt idx="125">
                  <c:v>5.6676999999999991</c:v>
                </c:pt>
                <c:pt idx="126">
                  <c:v>5.5863000000000005</c:v>
                </c:pt>
                <c:pt idx="127">
                  <c:v>5.4839000000000002</c:v>
                </c:pt>
                <c:pt idx="128">
                  <c:v>5.4969999999999999</c:v>
                </c:pt>
                <c:pt idx="129">
                  <c:v>5.4720000000000004</c:v>
                </c:pt>
                <c:pt idx="130">
                  <c:v>5.4387000000000008</c:v>
                </c:pt>
                <c:pt idx="131">
                  <c:v>5.3967000000000001</c:v>
                </c:pt>
                <c:pt idx="132">
                  <c:v>5.41</c:v>
                </c:pt>
                <c:pt idx="133">
                  <c:v>5.4528999999999996</c:v>
                </c:pt>
                <c:pt idx="134">
                  <c:v>5.4563000000000006</c:v>
                </c:pt>
                <c:pt idx="135">
                  <c:v>5.4273999999999996</c:v>
                </c:pt>
                <c:pt idx="136">
                  <c:v>5.4669999999999996</c:v>
                </c:pt>
                <c:pt idx="137">
                  <c:v>5.5426000000000002</c:v>
                </c:pt>
                <c:pt idx="138">
                  <c:v>5.5542999999999996</c:v>
                </c:pt>
                <c:pt idx="139">
                  <c:v>5.5598000000000001</c:v>
                </c:pt>
                <c:pt idx="140">
                  <c:v>5.5807000000000002</c:v>
                </c:pt>
                <c:pt idx="141">
                  <c:v>5.6345999999999989</c:v>
                </c:pt>
                <c:pt idx="142">
                  <c:v>5.6402000000000001</c:v>
                </c:pt>
                <c:pt idx="143">
                  <c:v>5.6464999999999996</c:v>
                </c:pt>
                <c:pt idx="144">
                  <c:v>5.647899999999999</c:v>
                </c:pt>
                <c:pt idx="145">
                  <c:v>5.6532</c:v>
                </c:pt>
                <c:pt idx="146">
                  <c:v>5.6620999999999988</c:v>
                </c:pt>
                <c:pt idx="147">
                  <c:v>5.668099999999999</c:v>
                </c:pt>
                <c:pt idx="148">
                  <c:v>5.736600000000001</c:v>
                </c:pt>
                <c:pt idx="149">
                  <c:v>5.7645999999999988</c:v>
                </c:pt>
                <c:pt idx="150">
                  <c:v>5.6527999999999992</c:v>
                </c:pt>
                <c:pt idx="151">
                  <c:v>5.6093000000000002</c:v>
                </c:pt>
                <c:pt idx="152">
                  <c:v>5.6171999999999995</c:v>
                </c:pt>
                <c:pt idx="153">
                  <c:v>5.5114999999999998</c:v>
                </c:pt>
                <c:pt idx="154">
                  <c:v>5.4911000000000003</c:v>
                </c:pt>
                <c:pt idx="155">
                  <c:v>5.4874999999999998</c:v>
                </c:pt>
                <c:pt idx="156">
                  <c:v>5.4501999999999997</c:v>
                </c:pt>
                <c:pt idx="157">
                  <c:v>5.4650999999999996</c:v>
                </c:pt>
                <c:pt idx="158">
                  <c:v>5.4631999999999996</c:v>
                </c:pt>
                <c:pt idx="159">
                  <c:v>5.4237000000000002</c:v>
                </c:pt>
                <c:pt idx="160">
                  <c:v>5.4546999999999999</c:v>
                </c:pt>
                <c:pt idx="161">
                  <c:v>5.4707000000000008</c:v>
                </c:pt>
                <c:pt idx="162">
                  <c:v>5.5523999999999996</c:v>
                </c:pt>
                <c:pt idx="163">
                  <c:v>5.5263</c:v>
                </c:pt>
                <c:pt idx="164">
                  <c:v>5.4920999999999998</c:v>
                </c:pt>
                <c:pt idx="165">
                  <c:v>5.4969000000000001</c:v>
                </c:pt>
                <c:pt idx="166">
                  <c:v>5.5315000000000003</c:v>
                </c:pt>
                <c:pt idx="167">
                  <c:v>5.6357999999999997</c:v>
                </c:pt>
                <c:pt idx="168">
                  <c:v>5.6562000000000001</c:v>
                </c:pt>
                <c:pt idx="169">
                  <c:v>5.6229999999999993</c:v>
                </c:pt>
                <c:pt idx="170">
                  <c:v>5.622399999999999</c:v>
                </c:pt>
                <c:pt idx="171">
                  <c:v>5.6358999999999995</c:v>
                </c:pt>
                <c:pt idx="172">
                  <c:v>5.6048999999999989</c:v>
                </c:pt>
                <c:pt idx="173">
                  <c:v>5.5701999999999998</c:v>
                </c:pt>
                <c:pt idx="174">
                  <c:v>5.6097000000000001</c:v>
                </c:pt>
                <c:pt idx="175">
                  <c:v>5.6253999999999991</c:v>
                </c:pt>
                <c:pt idx="176">
                  <c:v>5.6387</c:v>
                </c:pt>
                <c:pt idx="177">
                  <c:v>5.6553999999999993</c:v>
                </c:pt>
                <c:pt idx="178">
                  <c:v>5.5717000000000008</c:v>
                </c:pt>
                <c:pt idx="179">
                  <c:v>5.5206999999999997</c:v>
                </c:pt>
                <c:pt idx="180">
                  <c:v>5.5010000000000003</c:v>
                </c:pt>
                <c:pt idx="181">
                  <c:v>5.476700000000001</c:v>
                </c:pt>
                <c:pt idx="182">
                  <c:v>5.4188999999999998</c:v>
                </c:pt>
                <c:pt idx="183">
                  <c:v>5.4775</c:v>
                </c:pt>
                <c:pt idx="184">
                  <c:v>5.5446</c:v>
                </c:pt>
                <c:pt idx="185">
                  <c:v>5.4702000000000011</c:v>
                </c:pt>
                <c:pt idx="186">
                  <c:v>5.4736000000000011</c:v>
                </c:pt>
                <c:pt idx="187">
                  <c:v>5.4412000000000011</c:v>
                </c:pt>
                <c:pt idx="188">
                  <c:v>5.4431000000000003</c:v>
                </c:pt>
                <c:pt idx="189">
                  <c:v>5.4481000000000002</c:v>
                </c:pt>
                <c:pt idx="190">
                  <c:v>5.4520999999999997</c:v>
                </c:pt>
                <c:pt idx="191">
                  <c:v>5.4305000000000003</c:v>
                </c:pt>
                <c:pt idx="192">
                  <c:v>5.4850000000000003</c:v>
                </c:pt>
                <c:pt idx="193">
                  <c:v>5.4686000000000003</c:v>
                </c:pt>
                <c:pt idx="194">
                  <c:v>5.4626000000000001</c:v>
                </c:pt>
                <c:pt idx="195">
                  <c:v>5.5197000000000003</c:v>
                </c:pt>
              </c:numCache>
            </c:numRef>
          </c:val>
          <c:extLst xmlns:c16r2="http://schemas.microsoft.com/office/drawing/2015/06/chart">
            <c:ext xmlns:c16="http://schemas.microsoft.com/office/drawing/2014/chart" uri="{C3380CC4-5D6E-409C-BE32-E72D297353CC}">
              <c16:uniqueId val="{00000000-0E04-48E9-95D7-46FFA6631144}"/>
            </c:ext>
          </c:extLst>
        </c:ser>
        <c:dLbls/>
        <c:marker val="1"/>
        <c:axId val="78255232"/>
        <c:axId val="78257152"/>
      </c:lineChart>
      <c:dateAx>
        <c:axId val="78255232"/>
        <c:scaling>
          <c:orientation val="minMax"/>
        </c:scaling>
        <c:axPos val="b"/>
        <c:minorGridlines/>
        <c:title>
          <c:tx>
            <c:rich>
              <a:bodyPr/>
              <a:lstStyle/>
              <a:p>
                <a:pPr>
                  <a:defRPr/>
                </a:pPr>
                <a:r>
                  <a:rPr lang="en-US"/>
                  <a:t>Mês</a:t>
                </a:r>
              </a:p>
            </c:rich>
          </c:tx>
          <c:layout>
            <c:manualLayout>
              <c:xMode val="edge"/>
              <c:yMode val="edge"/>
              <c:x val="0.47240815718224505"/>
              <c:y val="0.91232113765951683"/>
            </c:manualLayout>
          </c:layout>
        </c:title>
        <c:numFmt formatCode="[$-416]mmm\-yy;@" sourceLinked="0"/>
        <c:majorTickMark val="in"/>
        <c:minorTickMark val="in"/>
        <c:tickLblPos val="low"/>
        <c:txPr>
          <a:bodyPr rot="60000" anchor="t" anchorCtr="1"/>
          <a:lstStyle/>
          <a:p>
            <a:pPr>
              <a:defRPr sz="900"/>
            </a:pPr>
            <a:endParaRPr lang="pt-BR"/>
          </a:p>
        </c:txPr>
        <c:crossAx val="78257152"/>
        <c:crossesAt val="4"/>
        <c:lblOffset val="100"/>
        <c:baseTimeUnit val="days"/>
        <c:majorUnit val="1"/>
        <c:majorTimeUnit val="months"/>
      </c:dateAx>
      <c:valAx>
        <c:axId val="78257152"/>
        <c:scaling>
          <c:orientation val="minMax"/>
          <c:max val="6"/>
          <c:min val="4"/>
        </c:scaling>
        <c:axPos val="l"/>
        <c:title>
          <c:tx>
            <c:rich>
              <a:bodyPr rot="-5400000" vert="horz"/>
              <a:lstStyle/>
              <a:p>
                <a:pPr>
                  <a:defRPr/>
                </a:pPr>
                <a:r>
                  <a:rPr lang="en-US"/>
                  <a:t>Cotação R$</a:t>
                </a:r>
              </a:p>
            </c:rich>
          </c:tx>
          <c:layout>
            <c:manualLayout>
              <c:xMode val="edge"/>
              <c:yMode val="edge"/>
              <c:x val="2.3409438135022807E-2"/>
              <c:y val="0.30509609803642418"/>
            </c:manualLayout>
          </c:layout>
        </c:title>
        <c:numFmt formatCode="General" sourceLinked="1"/>
        <c:tickLblPos val="nextTo"/>
        <c:txPr>
          <a:bodyPr/>
          <a:lstStyle/>
          <a:p>
            <a:pPr>
              <a:defRPr sz="900"/>
            </a:pPr>
            <a:endParaRPr lang="pt-BR"/>
          </a:p>
        </c:txPr>
        <c:crossAx val="78255232"/>
        <c:crossesAt val="42006"/>
        <c:crossBetween val="between"/>
        <c:majorUnit val="0.25"/>
      </c:valAx>
    </c:plotArea>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pt-BR"/>
  <c:chart>
    <c:plotArea>
      <c:layout>
        <c:manualLayout>
          <c:layoutTarget val="inner"/>
          <c:xMode val="edge"/>
          <c:yMode val="edge"/>
          <c:x val="0.10854175792476417"/>
          <c:y val="4.9837217125556638E-2"/>
          <c:w val="0.87383325837270998"/>
          <c:h val="0.56734193526316101"/>
        </c:manualLayout>
      </c:layout>
      <c:lineChart>
        <c:grouping val="standard"/>
        <c:ser>
          <c:idx val="0"/>
          <c:order val="0"/>
          <c:marker>
            <c:symbol val="none"/>
          </c:marker>
          <c:cat>
            <c:numRef>
              <c:f>'Selic '!$B$4:$B$114</c:f>
              <c:numCache>
                <c:formatCode>m/d/yyyy</c:formatCode>
                <c:ptCount val="111"/>
                <c:pt idx="0">
                  <c:v>45553</c:v>
                </c:pt>
                <c:pt idx="1">
                  <c:v>45504</c:v>
                </c:pt>
                <c:pt idx="2">
                  <c:v>45462</c:v>
                </c:pt>
                <c:pt idx="3">
                  <c:v>45420</c:v>
                </c:pt>
                <c:pt idx="4">
                  <c:v>45371</c:v>
                </c:pt>
                <c:pt idx="5">
                  <c:v>45322</c:v>
                </c:pt>
                <c:pt idx="6">
                  <c:v>45273</c:v>
                </c:pt>
                <c:pt idx="7">
                  <c:v>45231</c:v>
                </c:pt>
                <c:pt idx="8">
                  <c:v>45189</c:v>
                </c:pt>
                <c:pt idx="9">
                  <c:v>45140</c:v>
                </c:pt>
                <c:pt idx="10">
                  <c:v>45098</c:v>
                </c:pt>
                <c:pt idx="11">
                  <c:v>45049</c:v>
                </c:pt>
                <c:pt idx="12">
                  <c:v>45007</c:v>
                </c:pt>
                <c:pt idx="13">
                  <c:v>44958</c:v>
                </c:pt>
                <c:pt idx="14">
                  <c:v>44902</c:v>
                </c:pt>
                <c:pt idx="15">
                  <c:v>44860</c:v>
                </c:pt>
                <c:pt idx="16">
                  <c:v>44825</c:v>
                </c:pt>
                <c:pt idx="17">
                  <c:v>44776</c:v>
                </c:pt>
                <c:pt idx="18">
                  <c:v>44727</c:v>
                </c:pt>
                <c:pt idx="19">
                  <c:v>44685</c:v>
                </c:pt>
                <c:pt idx="20">
                  <c:v>44636</c:v>
                </c:pt>
                <c:pt idx="21">
                  <c:v>44594</c:v>
                </c:pt>
                <c:pt idx="22">
                  <c:v>44538</c:v>
                </c:pt>
                <c:pt idx="23">
                  <c:v>44496</c:v>
                </c:pt>
                <c:pt idx="24">
                  <c:v>44461</c:v>
                </c:pt>
                <c:pt idx="25">
                  <c:v>44412</c:v>
                </c:pt>
                <c:pt idx="26">
                  <c:v>44363</c:v>
                </c:pt>
                <c:pt idx="27">
                  <c:v>44321</c:v>
                </c:pt>
                <c:pt idx="28">
                  <c:v>44272</c:v>
                </c:pt>
                <c:pt idx="29">
                  <c:v>44216</c:v>
                </c:pt>
                <c:pt idx="30">
                  <c:v>44174</c:v>
                </c:pt>
                <c:pt idx="31">
                  <c:v>44132</c:v>
                </c:pt>
                <c:pt idx="32">
                  <c:v>44090</c:v>
                </c:pt>
                <c:pt idx="33">
                  <c:v>44048</c:v>
                </c:pt>
                <c:pt idx="34">
                  <c:v>43999</c:v>
                </c:pt>
                <c:pt idx="35">
                  <c:v>43957</c:v>
                </c:pt>
                <c:pt idx="36">
                  <c:v>43908</c:v>
                </c:pt>
                <c:pt idx="37">
                  <c:v>43866</c:v>
                </c:pt>
                <c:pt idx="38">
                  <c:v>43810</c:v>
                </c:pt>
                <c:pt idx="39">
                  <c:v>43768</c:v>
                </c:pt>
                <c:pt idx="40">
                  <c:v>43726</c:v>
                </c:pt>
                <c:pt idx="41">
                  <c:v>43677</c:v>
                </c:pt>
                <c:pt idx="42">
                  <c:v>43635</c:v>
                </c:pt>
                <c:pt idx="43">
                  <c:v>43593</c:v>
                </c:pt>
                <c:pt idx="44">
                  <c:v>43544</c:v>
                </c:pt>
                <c:pt idx="45">
                  <c:v>43502</c:v>
                </c:pt>
                <c:pt idx="46">
                  <c:v>43446</c:v>
                </c:pt>
                <c:pt idx="47">
                  <c:v>43404</c:v>
                </c:pt>
                <c:pt idx="48">
                  <c:v>43362</c:v>
                </c:pt>
                <c:pt idx="49">
                  <c:v>43313</c:v>
                </c:pt>
                <c:pt idx="50">
                  <c:v>43271</c:v>
                </c:pt>
                <c:pt idx="51">
                  <c:v>43236</c:v>
                </c:pt>
                <c:pt idx="52">
                  <c:v>43180</c:v>
                </c:pt>
                <c:pt idx="53">
                  <c:v>43138</c:v>
                </c:pt>
                <c:pt idx="54">
                  <c:v>43075</c:v>
                </c:pt>
                <c:pt idx="55">
                  <c:v>43032</c:v>
                </c:pt>
                <c:pt idx="56">
                  <c:v>42984</c:v>
                </c:pt>
                <c:pt idx="57">
                  <c:v>42942</c:v>
                </c:pt>
                <c:pt idx="58">
                  <c:v>42886</c:v>
                </c:pt>
                <c:pt idx="59">
                  <c:v>42837</c:v>
                </c:pt>
                <c:pt idx="60">
                  <c:v>42788</c:v>
                </c:pt>
                <c:pt idx="61">
                  <c:v>42746</c:v>
                </c:pt>
                <c:pt idx="62">
                  <c:v>42704</c:v>
                </c:pt>
                <c:pt idx="63">
                  <c:v>42662</c:v>
                </c:pt>
                <c:pt idx="64">
                  <c:v>42613</c:v>
                </c:pt>
                <c:pt idx="65">
                  <c:v>42571</c:v>
                </c:pt>
                <c:pt idx="66">
                  <c:v>42529</c:v>
                </c:pt>
                <c:pt idx="67">
                  <c:v>42487</c:v>
                </c:pt>
                <c:pt idx="68">
                  <c:v>42431</c:v>
                </c:pt>
                <c:pt idx="69">
                  <c:v>42389</c:v>
                </c:pt>
                <c:pt idx="70">
                  <c:v>42333</c:v>
                </c:pt>
                <c:pt idx="71">
                  <c:v>42298</c:v>
                </c:pt>
                <c:pt idx="72">
                  <c:v>42249</c:v>
                </c:pt>
                <c:pt idx="73">
                  <c:v>42214</c:v>
                </c:pt>
                <c:pt idx="74">
                  <c:v>42158</c:v>
                </c:pt>
                <c:pt idx="75">
                  <c:v>42123</c:v>
                </c:pt>
                <c:pt idx="76">
                  <c:v>42067</c:v>
                </c:pt>
                <c:pt idx="77">
                  <c:v>42025</c:v>
                </c:pt>
                <c:pt idx="78">
                  <c:v>41976</c:v>
                </c:pt>
                <c:pt idx="79">
                  <c:v>41941</c:v>
                </c:pt>
                <c:pt idx="80">
                  <c:v>41885</c:v>
                </c:pt>
                <c:pt idx="81">
                  <c:v>41836</c:v>
                </c:pt>
                <c:pt idx="82">
                  <c:v>41787</c:v>
                </c:pt>
                <c:pt idx="83">
                  <c:v>41731</c:v>
                </c:pt>
                <c:pt idx="84">
                  <c:v>41696</c:v>
                </c:pt>
                <c:pt idx="85">
                  <c:v>41654</c:v>
                </c:pt>
                <c:pt idx="86">
                  <c:v>41605</c:v>
                </c:pt>
                <c:pt idx="87">
                  <c:v>41556</c:v>
                </c:pt>
                <c:pt idx="88">
                  <c:v>41514</c:v>
                </c:pt>
                <c:pt idx="89">
                  <c:v>41465</c:v>
                </c:pt>
                <c:pt idx="90">
                  <c:v>41423</c:v>
                </c:pt>
                <c:pt idx="91">
                  <c:v>41381</c:v>
                </c:pt>
                <c:pt idx="92">
                  <c:v>41339</c:v>
                </c:pt>
                <c:pt idx="93">
                  <c:v>41290</c:v>
                </c:pt>
                <c:pt idx="94">
                  <c:v>41241</c:v>
                </c:pt>
                <c:pt idx="95">
                  <c:v>41192</c:v>
                </c:pt>
                <c:pt idx="96">
                  <c:v>41150</c:v>
                </c:pt>
                <c:pt idx="97">
                  <c:v>41101</c:v>
                </c:pt>
                <c:pt idx="98">
                  <c:v>41059</c:v>
                </c:pt>
                <c:pt idx="99">
                  <c:v>41017</c:v>
                </c:pt>
                <c:pt idx="100">
                  <c:v>40975</c:v>
                </c:pt>
                <c:pt idx="101">
                  <c:v>40926</c:v>
                </c:pt>
                <c:pt idx="102">
                  <c:v>40877</c:v>
                </c:pt>
                <c:pt idx="103">
                  <c:v>40835</c:v>
                </c:pt>
                <c:pt idx="104">
                  <c:v>40786</c:v>
                </c:pt>
                <c:pt idx="105">
                  <c:v>40744</c:v>
                </c:pt>
                <c:pt idx="106">
                  <c:v>40702</c:v>
                </c:pt>
                <c:pt idx="107">
                  <c:v>40653</c:v>
                </c:pt>
                <c:pt idx="108">
                  <c:v>40604</c:v>
                </c:pt>
                <c:pt idx="109">
                  <c:v>40562</c:v>
                </c:pt>
                <c:pt idx="110">
                  <c:v>40520</c:v>
                </c:pt>
              </c:numCache>
            </c:numRef>
          </c:cat>
          <c:val>
            <c:numRef>
              <c:f>'Selic '!$E$4:$E$114</c:f>
              <c:numCache>
                <c:formatCode>General</c:formatCode>
                <c:ptCount val="111"/>
                <c:pt idx="0">
                  <c:v>10.75</c:v>
                </c:pt>
                <c:pt idx="1">
                  <c:v>10.5</c:v>
                </c:pt>
                <c:pt idx="2">
                  <c:v>10.5</c:v>
                </c:pt>
                <c:pt idx="3">
                  <c:v>10.5</c:v>
                </c:pt>
                <c:pt idx="4">
                  <c:v>10.75</c:v>
                </c:pt>
                <c:pt idx="5">
                  <c:v>11.25</c:v>
                </c:pt>
                <c:pt idx="6">
                  <c:v>11.75</c:v>
                </c:pt>
                <c:pt idx="7">
                  <c:v>12.25</c:v>
                </c:pt>
                <c:pt idx="8">
                  <c:v>12.75</c:v>
                </c:pt>
                <c:pt idx="9">
                  <c:v>13.25</c:v>
                </c:pt>
                <c:pt idx="10">
                  <c:v>13.75</c:v>
                </c:pt>
                <c:pt idx="11">
                  <c:v>13.75</c:v>
                </c:pt>
                <c:pt idx="12">
                  <c:v>13.75</c:v>
                </c:pt>
                <c:pt idx="13">
                  <c:v>13.75</c:v>
                </c:pt>
                <c:pt idx="14">
                  <c:v>13.75</c:v>
                </c:pt>
                <c:pt idx="15">
                  <c:v>13.75</c:v>
                </c:pt>
                <c:pt idx="16">
                  <c:v>13.75</c:v>
                </c:pt>
                <c:pt idx="17">
                  <c:v>13.75</c:v>
                </c:pt>
                <c:pt idx="18">
                  <c:v>13.25</c:v>
                </c:pt>
                <c:pt idx="19">
                  <c:v>12.75</c:v>
                </c:pt>
                <c:pt idx="20">
                  <c:v>11.75</c:v>
                </c:pt>
                <c:pt idx="21">
                  <c:v>10.75</c:v>
                </c:pt>
                <c:pt idx="22">
                  <c:v>9.25</c:v>
                </c:pt>
                <c:pt idx="23">
                  <c:v>7.75</c:v>
                </c:pt>
                <c:pt idx="24">
                  <c:v>6.25</c:v>
                </c:pt>
                <c:pt idx="25">
                  <c:v>5.25</c:v>
                </c:pt>
                <c:pt idx="26">
                  <c:v>4.25</c:v>
                </c:pt>
                <c:pt idx="27">
                  <c:v>3.5</c:v>
                </c:pt>
                <c:pt idx="28">
                  <c:v>2.75</c:v>
                </c:pt>
                <c:pt idx="29">
                  <c:v>2</c:v>
                </c:pt>
                <c:pt idx="30">
                  <c:v>2</c:v>
                </c:pt>
                <c:pt idx="31">
                  <c:v>2</c:v>
                </c:pt>
                <c:pt idx="32">
                  <c:v>2</c:v>
                </c:pt>
                <c:pt idx="33">
                  <c:v>2</c:v>
                </c:pt>
                <c:pt idx="34">
                  <c:v>2.25</c:v>
                </c:pt>
                <c:pt idx="35">
                  <c:v>3</c:v>
                </c:pt>
                <c:pt idx="36">
                  <c:v>3.75</c:v>
                </c:pt>
                <c:pt idx="37">
                  <c:v>4.25</c:v>
                </c:pt>
                <c:pt idx="38">
                  <c:v>4.5</c:v>
                </c:pt>
                <c:pt idx="39">
                  <c:v>5</c:v>
                </c:pt>
                <c:pt idx="40">
                  <c:v>5.5</c:v>
                </c:pt>
                <c:pt idx="41">
                  <c:v>6</c:v>
                </c:pt>
                <c:pt idx="42">
                  <c:v>6.5</c:v>
                </c:pt>
                <c:pt idx="43">
                  <c:v>6.5</c:v>
                </c:pt>
                <c:pt idx="44">
                  <c:v>6.5</c:v>
                </c:pt>
                <c:pt idx="45">
                  <c:v>6.5</c:v>
                </c:pt>
                <c:pt idx="46">
                  <c:v>6.5</c:v>
                </c:pt>
                <c:pt idx="47">
                  <c:v>6.5</c:v>
                </c:pt>
                <c:pt idx="48">
                  <c:v>6.5</c:v>
                </c:pt>
                <c:pt idx="49">
                  <c:v>6.5</c:v>
                </c:pt>
                <c:pt idx="50">
                  <c:v>6.5</c:v>
                </c:pt>
                <c:pt idx="51">
                  <c:v>6.5</c:v>
                </c:pt>
                <c:pt idx="52">
                  <c:v>6.5</c:v>
                </c:pt>
                <c:pt idx="53">
                  <c:v>6.75</c:v>
                </c:pt>
                <c:pt idx="54">
                  <c:v>7</c:v>
                </c:pt>
                <c:pt idx="55">
                  <c:v>7.5</c:v>
                </c:pt>
                <c:pt idx="56">
                  <c:v>8.25</c:v>
                </c:pt>
                <c:pt idx="57">
                  <c:v>9.25</c:v>
                </c:pt>
                <c:pt idx="58">
                  <c:v>10.25</c:v>
                </c:pt>
                <c:pt idx="59">
                  <c:v>11.25</c:v>
                </c:pt>
                <c:pt idx="60">
                  <c:v>12.25</c:v>
                </c:pt>
                <c:pt idx="61">
                  <c:v>13</c:v>
                </c:pt>
                <c:pt idx="62">
                  <c:v>13.75</c:v>
                </c:pt>
                <c:pt idx="63">
                  <c:v>14</c:v>
                </c:pt>
                <c:pt idx="64">
                  <c:v>14.25</c:v>
                </c:pt>
                <c:pt idx="65">
                  <c:v>14.25</c:v>
                </c:pt>
                <c:pt idx="66">
                  <c:v>14.25</c:v>
                </c:pt>
                <c:pt idx="67">
                  <c:v>14.25</c:v>
                </c:pt>
                <c:pt idx="68">
                  <c:v>14.25</c:v>
                </c:pt>
                <c:pt idx="69">
                  <c:v>14.25</c:v>
                </c:pt>
                <c:pt idx="70">
                  <c:v>14.25</c:v>
                </c:pt>
                <c:pt idx="71">
                  <c:v>14.25</c:v>
                </c:pt>
                <c:pt idx="72">
                  <c:v>14.25</c:v>
                </c:pt>
                <c:pt idx="73">
                  <c:v>14.25</c:v>
                </c:pt>
                <c:pt idx="74">
                  <c:v>13.75</c:v>
                </c:pt>
                <c:pt idx="75">
                  <c:v>13.25</c:v>
                </c:pt>
                <c:pt idx="76">
                  <c:v>12.75</c:v>
                </c:pt>
                <c:pt idx="77">
                  <c:v>12.25</c:v>
                </c:pt>
                <c:pt idx="78">
                  <c:v>11.75</c:v>
                </c:pt>
                <c:pt idx="79">
                  <c:v>11.25</c:v>
                </c:pt>
                <c:pt idx="80">
                  <c:v>11</c:v>
                </c:pt>
                <c:pt idx="81">
                  <c:v>11</c:v>
                </c:pt>
                <c:pt idx="82">
                  <c:v>11</c:v>
                </c:pt>
                <c:pt idx="83">
                  <c:v>11</c:v>
                </c:pt>
                <c:pt idx="84">
                  <c:v>10.75</c:v>
                </c:pt>
                <c:pt idx="85">
                  <c:v>10.5</c:v>
                </c:pt>
                <c:pt idx="86">
                  <c:v>10</c:v>
                </c:pt>
                <c:pt idx="87">
                  <c:v>9.5</c:v>
                </c:pt>
                <c:pt idx="88">
                  <c:v>9</c:v>
                </c:pt>
                <c:pt idx="89">
                  <c:v>8.5</c:v>
                </c:pt>
                <c:pt idx="90">
                  <c:v>8</c:v>
                </c:pt>
                <c:pt idx="91">
                  <c:v>7.5</c:v>
                </c:pt>
                <c:pt idx="92">
                  <c:v>7.25</c:v>
                </c:pt>
                <c:pt idx="93">
                  <c:v>7.25</c:v>
                </c:pt>
                <c:pt idx="94">
                  <c:v>7.25</c:v>
                </c:pt>
                <c:pt idx="95">
                  <c:v>7.25</c:v>
                </c:pt>
                <c:pt idx="96">
                  <c:v>7.5</c:v>
                </c:pt>
                <c:pt idx="97">
                  <c:v>8</c:v>
                </c:pt>
                <c:pt idx="98">
                  <c:v>8.5</c:v>
                </c:pt>
                <c:pt idx="99">
                  <c:v>9</c:v>
                </c:pt>
                <c:pt idx="100">
                  <c:v>9.75</c:v>
                </c:pt>
                <c:pt idx="101">
                  <c:v>10.5</c:v>
                </c:pt>
                <c:pt idx="102">
                  <c:v>11</c:v>
                </c:pt>
                <c:pt idx="103">
                  <c:v>11.5</c:v>
                </c:pt>
                <c:pt idx="104">
                  <c:v>12</c:v>
                </c:pt>
                <c:pt idx="105">
                  <c:v>12.5</c:v>
                </c:pt>
                <c:pt idx="106">
                  <c:v>12.25</c:v>
                </c:pt>
                <c:pt idx="107">
                  <c:v>12</c:v>
                </c:pt>
                <c:pt idx="108">
                  <c:v>11.75</c:v>
                </c:pt>
                <c:pt idx="109">
                  <c:v>11.25</c:v>
                </c:pt>
                <c:pt idx="110">
                  <c:v>10.75</c:v>
                </c:pt>
              </c:numCache>
            </c:numRef>
          </c:val>
          <c:extLst xmlns:c16r2="http://schemas.microsoft.com/office/drawing/2015/06/chart">
            <c:ext xmlns:c16="http://schemas.microsoft.com/office/drawing/2014/chart" uri="{C3380CC4-5D6E-409C-BE32-E72D297353CC}">
              <c16:uniqueId val="{00000000-0A90-4F13-9549-7FB2E079BB2C}"/>
            </c:ext>
          </c:extLst>
        </c:ser>
        <c:dLbls/>
        <c:marker val="1"/>
        <c:axId val="78285824"/>
        <c:axId val="78296192"/>
      </c:lineChart>
      <c:dateAx>
        <c:axId val="78285824"/>
        <c:scaling>
          <c:orientation val="minMax"/>
          <c:max val="45596"/>
          <c:min val="40513"/>
        </c:scaling>
        <c:axPos val="b"/>
        <c:title>
          <c:tx>
            <c:rich>
              <a:bodyPr/>
              <a:lstStyle/>
              <a:p>
                <a:pPr>
                  <a:defRPr sz="900"/>
                </a:pPr>
                <a:r>
                  <a:rPr lang="en-US" sz="900"/>
                  <a:t>Mês/Ano</a:t>
                </a:r>
              </a:p>
            </c:rich>
          </c:tx>
          <c:layout>
            <c:manualLayout>
              <c:xMode val="edge"/>
              <c:yMode val="edge"/>
              <c:x val="0.47915856389510947"/>
              <c:y val="0.91517435320584939"/>
            </c:manualLayout>
          </c:layout>
        </c:title>
        <c:numFmt formatCode="[$-416]mmm\-yy;@" sourceLinked="0"/>
        <c:tickLblPos val="low"/>
        <c:txPr>
          <a:bodyPr rot="-5400000" vert="horz"/>
          <a:lstStyle/>
          <a:p>
            <a:pPr>
              <a:defRPr sz="700"/>
            </a:pPr>
            <a:endParaRPr lang="pt-BR"/>
          </a:p>
        </c:txPr>
        <c:crossAx val="78296192"/>
        <c:crosses val="autoZero"/>
        <c:auto val="1"/>
        <c:lblOffset val="100"/>
        <c:baseTimeUnit val="months"/>
        <c:majorUnit val="5"/>
        <c:majorTimeUnit val="months"/>
      </c:dateAx>
      <c:valAx>
        <c:axId val="78296192"/>
        <c:scaling>
          <c:orientation val="minMax"/>
          <c:min val="1"/>
        </c:scaling>
        <c:axPos val="l"/>
        <c:majorGridlines/>
        <c:title>
          <c:tx>
            <c:rich>
              <a:bodyPr rot="-5400000" vert="horz"/>
              <a:lstStyle/>
              <a:p>
                <a:pPr>
                  <a:defRPr sz="900"/>
                </a:pPr>
                <a:r>
                  <a:rPr lang="en-US" sz="900"/>
                  <a:t>Taxa %</a:t>
                </a:r>
              </a:p>
            </c:rich>
          </c:tx>
          <c:layout>
            <c:manualLayout>
              <c:xMode val="edge"/>
              <c:yMode val="edge"/>
              <c:x val="8.9337394382974361E-3"/>
              <c:y val="0.32335292809615312"/>
            </c:manualLayout>
          </c:layout>
        </c:title>
        <c:numFmt formatCode="General" sourceLinked="1"/>
        <c:tickLblPos val="nextTo"/>
        <c:txPr>
          <a:bodyPr/>
          <a:lstStyle/>
          <a:p>
            <a:pPr>
              <a:defRPr sz="700"/>
            </a:pPr>
            <a:endParaRPr lang="pt-BR"/>
          </a:p>
        </c:txPr>
        <c:crossAx val="78285824"/>
        <c:crosses val="autoZero"/>
        <c:crossBetween val="midCat"/>
      </c:valAx>
    </c:plotArea>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pt-BR"/>
  <c:chart>
    <c:plotArea>
      <c:layout>
        <c:manualLayout>
          <c:layoutTarget val="inner"/>
          <c:xMode val="edge"/>
          <c:yMode val="edge"/>
          <c:x val="0.1466588318251264"/>
          <c:y val="0.10908323959505062"/>
          <c:w val="0.83267570965987847"/>
          <c:h val="0.59979669394915514"/>
        </c:manualLayout>
      </c:layout>
      <c:barChart>
        <c:barDir val="col"/>
        <c:grouping val="clustered"/>
        <c:ser>
          <c:idx val="1"/>
          <c:order val="0"/>
          <c:spPr>
            <a:solidFill>
              <a:schemeClr val="tx2">
                <a:lumMod val="60000"/>
                <a:lumOff val="40000"/>
              </a:schemeClr>
            </a:solidFill>
          </c:spPr>
          <c:dPt>
            <c:idx val="16"/>
            <c:extLst xmlns:c16r2="http://schemas.microsoft.com/office/drawing/2015/06/chart">
              <c:ext xmlns:c16="http://schemas.microsoft.com/office/drawing/2014/chart" uri="{C3380CC4-5D6E-409C-BE32-E72D297353CC}">
                <c16:uniqueId val="{00000000-DBB6-4F1E-8BD8-24AE9C28BEC5}"/>
              </c:ext>
            </c:extLst>
          </c:dPt>
          <c:dPt>
            <c:idx val="17"/>
            <c:extLst xmlns:c16r2="http://schemas.microsoft.com/office/drawing/2015/06/chart">
              <c:ext xmlns:c16="http://schemas.microsoft.com/office/drawing/2014/chart" uri="{C3380CC4-5D6E-409C-BE32-E72D297353CC}">
                <c16:uniqueId val="{00000001-DBB6-4F1E-8BD8-24AE9C28BEC5}"/>
              </c:ext>
            </c:extLst>
          </c:dPt>
          <c:dPt>
            <c:idx val="18"/>
            <c:extLst xmlns:c16r2="http://schemas.microsoft.com/office/drawing/2015/06/chart">
              <c:ext xmlns:c16="http://schemas.microsoft.com/office/drawing/2014/chart" uri="{C3380CC4-5D6E-409C-BE32-E72D297353CC}">
                <c16:uniqueId val="{00000002-DBB6-4F1E-8BD8-24AE9C28BEC5}"/>
              </c:ext>
            </c:extLst>
          </c:dPt>
          <c:dPt>
            <c:idx val="19"/>
            <c:extLst xmlns:c16r2="http://schemas.microsoft.com/office/drawing/2015/06/chart">
              <c:ext xmlns:c16="http://schemas.microsoft.com/office/drawing/2014/chart" uri="{C3380CC4-5D6E-409C-BE32-E72D297353CC}">
                <c16:uniqueId val="{00000003-DBB6-4F1E-8BD8-24AE9C28BEC5}"/>
              </c:ext>
            </c:extLst>
          </c:dPt>
          <c:dPt>
            <c:idx val="20"/>
            <c:extLst xmlns:c16r2="http://schemas.microsoft.com/office/drawing/2015/06/chart">
              <c:ext xmlns:c16="http://schemas.microsoft.com/office/drawing/2014/chart" uri="{C3380CC4-5D6E-409C-BE32-E72D297353CC}">
                <c16:uniqueId val="{00000004-DBB6-4F1E-8BD8-24AE9C28BEC5}"/>
              </c:ext>
            </c:extLst>
          </c:dPt>
          <c:dPt>
            <c:idx val="21"/>
            <c:extLst xmlns:c16r2="http://schemas.microsoft.com/office/drawing/2015/06/chart">
              <c:ext xmlns:c16="http://schemas.microsoft.com/office/drawing/2014/chart" uri="{C3380CC4-5D6E-409C-BE32-E72D297353CC}">
                <c16:uniqueId val="{00000005-DBB6-4F1E-8BD8-24AE9C28BEC5}"/>
              </c:ext>
            </c:extLst>
          </c:dPt>
          <c:dPt>
            <c:idx val="22"/>
            <c:spPr>
              <a:solidFill>
                <a:schemeClr val="accent1"/>
              </a:solidFill>
            </c:spPr>
            <c:extLst xmlns:c16r2="http://schemas.microsoft.com/office/drawing/2015/06/chart">
              <c:ext xmlns:c16="http://schemas.microsoft.com/office/drawing/2014/chart" uri="{C3380CC4-5D6E-409C-BE32-E72D297353CC}">
                <c16:uniqueId val="{00000007-DBB6-4F1E-8BD8-24AE9C28BEC5}"/>
              </c:ext>
            </c:extLst>
          </c:dPt>
          <c:dPt>
            <c:idx val="23"/>
            <c:spPr>
              <a:solidFill>
                <a:schemeClr val="accent1"/>
              </a:solidFill>
            </c:spPr>
            <c:extLst xmlns:c16r2="http://schemas.microsoft.com/office/drawing/2015/06/chart">
              <c:ext xmlns:c16="http://schemas.microsoft.com/office/drawing/2014/chart" uri="{C3380CC4-5D6E-409C-BE32-E72D297353CC}">
                <c16:uniqueId val="{00000009-DBB6-4F1E-8BD8-24AE9C28BEC5}"/>
              </c:ext>
            </c:extLst>
          </c:dPt>
          <c:cat>
            <c:strRef>
              <c:f>'IPCA 2024'!$A$1:$A$25</c:f>
              <c:strCache>
                <c:ptCount val="25"/>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pt idx="23">
                  <c:v>2023</c:v>
                </c:pt>
                <c:pt idx="24">
                  <c:v>2024*</c:v>
                </c:pt>
              </c:strCache>
            </c:strRef>
          </c:cat>
          <c:val>
            <c:numRef>
              <c:f>'IPCA 2024'!$B$1:$B$25</c:f>
              <c:numCache>
                <c:formatCode>0.00%</c:formatCode>
                <c:ptCount val="25"/>
                <c:pt idx="0">
                  <c:v>5.970000000000001E-2</c:v>
                </c:pt>
                <c:pt idx="1">
                  <c:v>7.6700000000000004E-2</c:v>
                </c:pt>
                <c:pt idx="2">
                  <c:v>0.12529999999999999</c:v>
                </c:pt>
                <c:pt idx="3">
                  <c:v>9.3000000000000041E-2</c:v>
                </c:pt>
                <c:pt idx="4">
                  <c:v>7.5999999999999998E-2</c:v>
                </c:pt>
                <c:pt idx="5">
                  <c:v>5.6899999999999999E-2</c:v>
                </c:pt>
                <c:pt idx="6">
                  <c:v>3.1399999999999997E-2</c:v>
                </c:pt>
                <c:pt idx="7">
                  <c:v>4.4600000000000008E-2</c:v>
                </c:pt>
                <c:pt idx="8">
                  <c:v>5.9000000000000004E-2</c:v>
                </c:pt>
                <c:pt idx="9">
                  <c:v>4.3099999999999999E-2</c:v>
                </c:pt>
                <c:pt idx="10">
                  <c:v>5.9100000000000007E-2</c:v>
                </c:pt>
                <c:pt idx="11">
                  <c:v>6.5000000000000002E-2</c:v>
                </c:pt>
                <c:pt idx="12">
                  <c:v>5.8400000000000007E-2</c:v>
                </c:pt>
                <c:pt idx="13">
                  <c:v>5.9100000000000007E-2</c:v>
                </c:pt>
                <c:pt idx="14">
                  <c:v>6.4100000000000004E-2</c:v>
                </c:pt>
                <c:pt idx="15">
                  <c:v>0.10670000000000002</c:v>
                </c:pt>
                <c:pt idx="16">
                  <c:v>6.2800000000000009E-2</c:v>
                </c:pt>
                <c:pt idx="17">
                  <c:v>2.9500000000000002E-2</c:v>
                </c:pt>
                <c:pt idx="18">
                  <c:v>3.7500000000000006E-2</c:v>
                </c:pt>
                <c:pt idx="19">
                  <c:v>4.3099999999999999E-2</c:v>
                </c:pt>
                <c:pt idx="20">
                  <c:v>4.5200000000000004E-2</c:v>
                </c:pt>
                <c:pt idx="21">
                  <c:v>0.10059999999999998</c:v>
                </c:pt>
                <c:pt idx="22">
                  <c:v>5.7900000000000007E-2</c:v>
                </c:pt>
                <c:pt idx="23">
                  <c:v>4.6199999999999998E-2</c:v>
                </c:pt>
                <c:pt idx="24">
                  <c:v>4.5000000000000005E-2</c:v>
                </c:pt>
              </c:numCache>
            </c:numRef>
          </c:val>
          <c:extLst xmlns:c16r2="http://schemas.microsoft.com/office/drawing/2015/06/chart">
            <c:ext xmlns:c16="http://schemas.microsoft.com/office/drawing/2014/chart" uri="{C3380CC4-5D6E-409C-BE32-E72D297353CC}">
              <c16:uniqueId val="{0000000A-DBB6-4F1E-8BD8-24AE9C28BEC5}"/>
            </c:ext>
          </c:extLst>
        </c:ser>
        <c:dLbls/>
        <c:axId val="82457728"/>
        <c:axId val="82459648"/>
      </c:barChart>
      <c:catAx>
        <c:axId val="82457728"/>
        <c:scaling>
          <c:orientation val="minMax"/>
        </c:scaling>
        <c:axPos val="b"/>
        <c:title>
          <c:tx>
            <c:rich>
              <a:bodyPr/>
              <a:lstStyle/>
              <a:p>
                <a:pPr>
                  <a:defRPr sz="900"/>
                </a:pPr>
                <a:r>
                  <a:rPr lang="en-US" sz="900"/>
                  <a:t>Ano</a:t>
                </a:r>
              </a:p>
            </c:rich>
          </c:tx>
          <c:layout>
            <c:manualLayout>
              <c:xMode val="edge"/>
              <c:yMode val="edge"/>
              <c:x val="0.48693007685416573"/>
              <c:y val="0.92424549204076778"/>
            </c:manualLayout>
          </c:layout>
        </c:title>
        <c:numFmt formatCode="General" sourceLinked="1"/>
        <c:tickLblPos val="nextTo"/>
        <c:txPr>
          <a:bodyPr rot="-2340000"/>
          <a:lstStyle/>
          <a:p>
            <a:pPr algn="ctr">
              <a:defRPr lang="pt-BR" sz="600" b="0" i="0" u="none" strike="noStrike" kern="1200" baseline="0">
                <a:solidFill>
                  <a:sysClr val="windowText" lastClr="000000"/>
                </a:solidFill>
                <a:latin typeface="+mn-lt"/>
                <a:ea typeface="+mn-ea"/>
                <a:cs typeface="+mn-cs"/>
              </a:defRPr>
            </a:pPr>
            <a:endParaRPr lang="pt-BR"/>
          </a:p>
        </c:txPr>
        <c:crossAx val="82459648"/>
        <c:crosses val="autoZero"/>
        <c:auto val="1"/>
        <c:lblAlgn val="ctr"/>
        <c:lblOffset val="100"/>
      </c:catAx>
      <c:valAx>
        <c:axId val="82459648"/>
        <c:scaling>
          <c:orientation val="minMax"/>
        </c:scaling>
        <c:axPos val="l"/>
        <c:majorGridlines/>
        <c:title>
          <c:tx>
            <c:rich>
              <a:bodyPr rot="-5400000" vert="horz"/>
              <a:lstStyle/>
              <a:p>
                <a:pPr>
                  <a:defRPr/>
                </a:pPr>
                <a:r>
                  <a:rPr lang="en-US"/>
                  <a:t>Taxa</a:t>
                </a:r>
              </a:p>
            </c:rich>
          </c:tx>
          <c:layout>
            <c:manualLayout>
              <c:xMode val="edge"/>
              <c:yMode val="edge"/>
              <c:x val="1.0802021693355144E-2"/>
              <c:y val="0.35805572380375533"/>
            </c:manualLayout>
          </c:layout>
        </c:title>
        <c:numFmt formatCode="0.00%" sourceLinked="1"/>
        <c:tickLblPos val="nextTo"/>
        <c:txPr>
          <a:bodyPr/>
          <a:lstStyle/>
          <a:p>
            <a:pPr>
              <a:defRPr sz="600"/>
            </a:pPr>
            <a:endParaRPr lang="pt-BR"/>
          </a:p>
        </c:txPr>
        <c:crossAx val="82457728"/>
        <c:crosses val="autoZero"/>
        <c:crossBetween val="between"/>
      </c:valAx>
    </c:plotArea>
    <c:plotVisOnly val="1"/>
    <c:dispBlanksAs val="gap"/>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pt-BR"/>
  <c:chart>
    <c:plotArea>
      <c:layout>
        <c:manualLayout>
          <c:layoutTarget val="inner"/>
          <c:xMode val="edge"/>
          <c:yMode val="edge"/>
          <c:x val="0.1237350261258249"/>
          <c:y val="6.9924386002618175E-2"/>
          <c:w val="0.8615345169633577"/>
          <c:h val="0.65203870770391825"/>
        </c:manualLayout>
      </c:layout>
      <c:barChart>
        <c:barDir val="col"/>
        <c:grouping val="clustered"/>
        <c:ser>
          <c:idx val="0"/>
          <c:order val="0"/>
          <c:dPt>
            <c:idx val="8"/>
            <c:spPr>
              <a:solidFill>
                <a:srgbClr val="FF0000"/>
              </a:solidFill>
            </c:spPr>
            <c:extLst xmlns:c16r2="http://schemas.microsoft.com/office/drawing/2015/06/chart">
              <c:ext xmlns:c16="http://schemas.microsoft.com/office/drawing/2014/chart" uri="{C3380CC4-5D6E-409C-BE32-E72D297353CC}">
                <c16:uniqueId val="{00000001-AF3D-4D98-9ADD-C0F84C517466}"/>
              </c:ext>
            </c:extLst>
          </c:dPt>
          <c:dPt>
            <c:idx val="9"/>
            <c:spPr>
              <a:solidFill>
                <a:schemeClr val="accent1"/>
              </a:solidFill>
            </c:spPr>
            <c:extLst xmlns:c16r2="http://schemas.microsoft.com/office/drawing/2015/06/chart">
              <c:ext xmlns:c16="http://schemas.microsoft.com/office/drawing/2014/chart" uri="{C3380CC4-5D6E-409C-BE32-E72D297353CC}">
                <c16:uniqueId val="{00000003-AF3D-4D98-9ADD-C0F84C517466}"/>
              </c:ext>
            </c:extLst>
          </c:dPt>
          <c:dPt>
            <c:idx val="14"/>
            <c:spPr>
              <a:solidFill>
                <a:srgbClr val="FF0000"/>
              </a:solidFill>
            </c:spPr>
            <c:extLst xmlns:c16r2="http://schemas.microsoft.com/office/drawing/2015/06/chart">
              <c:ext xmlns:c16="http://schemas.microsoft.com/office/drawing/2014/chart" uri="{C3380CC4-5D6E-409C-BE32-E72D297353CC}">
                <c16:uniqueId val="{00000005-AF3D-4D98-9ADD-C0F84C517466}"/>
              </c:ext>
            </c:extLst>
          </c:dPt>
          <c:dPt>
            <c:idx val="15"/>
            <c:spPr>
              <a:solidFill>
                <a:srgbClr val="FF0000"/>
              </a:solidFill>
            </c:spPr>
            <c:extLst xmlns:c16r2="http://schemas.microsoft.com/office/drawing/2015/06/chart">
              <c:ext xmlns:c16="http://schemas.microsoft.com/office/drawing/2014/chart" uri="{C3380CC4-5D6E-409C-BE32-E72D297353CC}">
                <c16:uniqueId val="{00000007-AF3D-4D98-9ADD-C0F84C517466}"/>
              </c:ext>
            </c:extLst>
          </c:dPt>
          <c:dPt>
            <c:idx val="16"/>
            <c:spPr>
              <a:solidFill>
                <a:schemeClr val="accent1"/>
              </a:solidFill>
            </c:spPr>
            <c:extLst xmlns:c16r2="http://schemas.microsoft.com/office/drawing/2015/06/chart">
              <c:ext xmlns:c16="http://schemas.microsoft.com/office/drawing/2014/chart" uri="{C3380CC4-5D6E-409C-BE32-E72D297353CC}">
                <c16:uniqueId val="{00000009-AF3D-4D98-9ADD-C0F84C517466}"/>
              </c:ext>
            </c:extLst>
          </c:dPt>
          <c:dPt>
            <c:idx val="19"/>
            <c:spPr>
              <a:solidFill>
                <a:srgbClr val="FF0000"/>
              </a:solidFill>
            </c:spPr>
            <c:extLst xmlns:c16r2="http://schemas.microsoft.com/office/drawing/2015/06/chart">
              <c:ext xmlns:c16="http://schemas.microsoft.com/office/drawing/2014/chart" uri="{C3380CC4-5D6E-409C-BE32-E72D297353CC}">
                <c16:uniqueId val="{0000000B-AF3D-4D98-9ADD-C0F84C517466}"/>
              </c:ext>
            </c:extLst>
          </c:dPt>
          <c:dPt>
            <c:idx val="20"/>
            <c:spPr>
              <a:solidFill>
                <a:schemeClr val="accent1"/>
              </a:solidFill>
            </c:spPr>
            <c:extLst xmlns:c16r2="http://schemas.microsoft.com/office/drawing/2015/06/chart">
              <c:ext xmlns:c16="http://schemas.microsoft.com/office/drawing/2014/chart" uri="{C3380CC4-5D6E-409C-BE32-E72D297353CC}">
                <c16:uniqueId val="{0000000D-AF3D-4D98-9ADD-C0F84C517466}"/>
              </c:ext>
            </c:extLst>
          </c:dPt>
          <c:dLbls>
            <c:dLbl>
              <c:idx val="4"/>
              <c:layout>
                <c:manualLayout>
                  <c:x val="0"/>
                  <c:y val="1.4178237187394952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AF3D-4D98-9ADD-C0F84C517466}"/>
                </c:ext>
              </c:extLst>
            </c:dLbl>
            <c:dLbl>
              <c:idx val="7"/>
              <c:layout>
                <c:manualLayout>
                  <c:x val="5.4270779138227533E-3"/>
                  <c:y val="1.417823718739498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AF3D-4D98-9ADD-C0F84C517466}"/>
                </c:ext>
              </c:extLst>
            </c:dLbl>
            <c:dLbl>
              <c:idx val="9"/>
              <c:layout>
                <c:manualLayout>
                  <c:x val="0"/>
                  <c:y val="1.3889253426655004E-2"/>
                </c:manualLayout>
              </c:layout>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AF3D-4D98-9ADD-C0F84C517466}"/>
                </c:ext>
              </c:extLst>
            </c:dLbl>
            <c:dLbl>
              <c:idx val="14"/>
              <c:layout>
                <c:manualLayout>
                  <c:x val="-8.4465424622904937E-3"/>
                  <c:y val="-4.6285360163312063E-3"/>
                </c:manualLayout>
              </c:layout>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AF3D-4D98-9ADD-C0F84C517466}"/>
                </c:ext>
              </c:extLst>
            </c:dLbl>
            <c:dLbl>
              <c:idx val="15"/>
              <c:layout>
                <c:manualLayout>
                  <c:x val="1.1532950273107757E-2"/>
                  <c:y val="4.6329104695246428E-3"/>
                </c:manualLayout>
              </c:layout>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AF3D-4D98-9ADD-C0F84C517466}"/>
                </c:ext>
              </c:extLst>
            </c:dLbl>
            <c:dLbl>
              <c:idx val="16"/>
              <c:layout>
                <c:manualLayout>
                  <c:x val="-1.9252238402558845E-2"/>
                  <c:y val="1.4312204782866437E-2"/>
                </c:manualLayout>
              </c:layout>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AF3D-4D98-9ADD-C0F84C517466}"/>
                </c:ext>
              </c:extLst>
            </c:dLbl>
            <c:dLbl>
              <c:idx val="17"/>
              <c:layout>
                <c:manualLayout>
                  <c:x val="-4.9140049140049139E-3"/>
                  <c:y val="-9.5693779904306216E-3"/>
                </c:manualLayout>
              </c:layout>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AF3D-4D98-9ADD-C0F84C517466}"/>
                </c:ext>
              </c:extLst>
            </c:dLbl>
            <c:dLbl>
              <c:idx val="18"/>
              <c:layout>
                <c:manualLayout>
                  <c:x val="1.6281233741468119E-2"/>
                  <c:y val="1.417823718739498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AF3D-4D98-9ADD-C0F84C517466}"/>
                </c:ext>
              </c:extLst>
            </c:dLbl>
            <c:dLbl>
              <c:idx val="20"/>
              <c:layout>
                <c:manualLayout>
                  <c:x val="-1.0854155827645408E-2"/>
                  <c:y val="1.417823718739498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AF3D-4D98-9ADD-C0F84C517466}"/>
                </c:ext>
              </c:extLst>
            </c:dLbl>
            <c:dLbl>
              <c:idx val="21"/>
              <c:layout>
                <c:manualLayout>
                  <c:x val="-2.7628954528992672E-3"/>
                  <c:y val="-5.5819831446437007E-7"/>
                </c:manualLayout>
              </c:layout>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2-AF3D-4D98-9ADD-C0F84C517466}"/>
                </c:ext>
              </c:extLst>
            </c:dLbl>
            <c:dLbl>
              <c:idx val="22"/>
              <c:layout>
                <c:manualLayout>
                  <c:x val="8.1406168707340576E-3"/>
                  <c:y val="2.835591617647552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3-AF3D-4D98-9ADD-C0F84C517466}"/>
                </c:ext>
              </c:extLst>
            </c:dLbl>
            <c:dLbl>
              <c:idx val="23"/>
              <c:layout>
                <c:manualLayout>
                  <c:x val="2.6265775115993121E-3"/>
                  <c:y val="-3.3668847733547384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4-AF3D-4D98-9ADD-C0F84C517466}"/>
                </c:ext>
              </c:extLst>
            </c:dLbl>
            <c:spPr>
              <a:noFill/>
              <a:ln w="25400">
                <a:noFill/>
              </a:ln>
            </c:spPr>
            <c:txPr>
              <a:bodyPr/>
              <a:lstStyle/>
              <a:p>
                <a:pPr>
                  <a:defRPr sz="650"/>
                </a:pPr>
                <a:endParaRPr lang="pt-BR"/>
              </a:p>
            </c:txPr>
            <c:showVal val="1"/>
            <c:extLst xmlns:c16r2="http://schemas.microsoft.com/office/drawing/2015/06/chart">
              <c:ext xmlns:c15="http://schemas.microsoft.com/office/drawing/2012/chart" uri="{CE6537A1-D6FC-4f65-9D91-7224C49458BB}">
                <c15:showLeaderLines val="0"/>
              </c:ext>
            </c:extLst>
          </c:dLbls>
          <c:cat>
            <c:strRef>
              <c:f>PIB!$A$2:$A$25</c:f>
              <c:strCache>
                <c:ptCount val="24"/>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pt idx="21">
                  <c:v>2022</c:v>
                </c:pt>
                <c:pt idx="22">
                  <c:v>2023</c:v>
                </c:pt>
                <c:pt idx="23">
                  <c:v>2024*</c:v>
                </c:pt>
              </c:strCache>
            </c:strRef>
          </c:cat>
          <c:val>
            <c:numRef>
              <c:f>PIB!$B$2:$B$25</c:f>
              <c:numCache>
                <c:formatCode>0.00%</c:formatCode>
                <c:ptCount val="24"/>
                <c:pt idx="0">
                  <c:v>1.2999999999999998E-2</c:v>
                </c:pt>
                <c:pt idx="1">
                  <c:v>2.7000000000000003E-2</c:v>
                </c:pt>
                <c:pt idx="2">
                  <c:v>1.0999999999999998E-2</c:v>
                </c:pt>
                <c:pt idx="3">
                  <c:v>5.7000000000000009E-2</c:v>
                </c:pt>
                <c:pt idx="4">
                  <c:v>3.2000000000000008E-2</c:v>
                </c:pt>
                <c:pt idx="5">
                  <c:v>4.0000000000000008E-2</c:v>
                </c:pt>
                <c:pt idx="6">
                  <c:v>6.1000000000000006E-2</c:v>
                </c:pt>
                <c:pt idx="7">
                  <c:v>5.1999999999999998E-2</c:v>
                </c:pt>
                <c:pt idx="8">
                  <c:v>-3.0000000000000005E-3</c:v>
                </c:pt>
                <c:pt idx="9">
                  <c:v>7.5000000000000011E-2</c:v>
                </c:pt>
                <c:pt idx="10">
                  <c:v>2.7000000000000003E-2</c:v>
                </c:pt>
                <c:pt idx="11">
                  <c:v>1.0000000000000002E-2</c:v>
                </c:pt>
                <c:pt idx="12">
                  <c:v>2.5000000000000001E-2</c:v>
                </c:pt>
                <c:pt idx="13">
                  <c:v>1.0000000000000002E-3</c:v>
                </c:pt>
                <c:pt idx="14">
                  <c:v>-3.7999999999999999E-2</c:v>
                </c:pt>
                <c:pt idx="15">
                  <c:v>-3.5999999999999997E-2</c:v>
                </c:pt>
                <c:pt idx="16">
                  <c:v>1.0000000000000002E-2</c:v>
                </c:pt>
                <c:pt idx="17">
                  <c:v>1.0999999999999998E-2</c:v>
                </c:pt>
                <c:pt idx="18">
                  <c:v>1.0999999999999998E-2</c:v>
                </c:pt>
                <c:pt idx="19">
                  <c:v>-4.1000000000000002E-2</c:v>
                </c:pt>
                <c:pt idx="20">
                  <c:v>4.5999999999999999E-2</c:v>
                </c:pt>
                <c:pt idx="21">
                  <c:v>2.9000000000000001E-2</c:v>
                </c:pt>
                <c:pt idx="22">
                  <c:v>2.9000000000000001E-2</c:v>
                </c:pt>
                <c:pt idx="23">
                  <c:v>3.0500000000000003E-2</c:v>
                </c:pt>
              </c:numCache>
            </c:numRef>
          </c:val>
          <c:extLst xmlns:c16r2="http://schemas.microsoft.com/office/drawing/2015/06/chart">
            <c:ext xmlns:c16="http://schemas.microsoft.com/office/drawing/2014/chart" uri="{C3380CC4-5D6E-409C-BE32-E72D297353CC}">
              <c16:uniqueId val="{00000015-AF3D-4D98-9ADD-C0F84C517466}"/>
            </c:ext>
          </c:extLst>
        </c:ser>
        <c:dLbls/>
        <c:axId val="82515840"/>
        <c:axId val="82530304"/>
      </c:barChart>
      <c:catAx>
        <c:axId val="82515840"/>
        <c:scaling>
          <c:orientation val="minMax"/>
        </c:scaling>
        <c:axPos val="b"/>
        <c:title>
          <c:tx>
            <c:rich>
              <a:bodyPr/>
              <a:lstStyle/>
              <a:p>
                <a:pPr>
                  <a:defRPr sz="800"/>
                </a:pPr>
                <a:r>
                  <a:rPr lang="en-US" sz="800"/>
                  <a:t>Ano</a:t>
                </a:r>
              </a:p>
            </c:rich>
          </c:tx>
          <c:layout>
            <c:manualLayout>
              <c:xMode val="edge"/>
              <c:yMode val="edge"/>
              <c:x val="0.51003450121560356"/>
              <c:y val="0.92724861545416881"/>
            </c:manualLayout>
          </c:layout>
        </c:title>
        <c:numFmt formatCode="General" sourceLinked="1"/>
        <c:tickLblPos val="low"/>
        <c:txPr>
          <a:bodyPr/>
          <a:lstStyle/>
          <a:p>
            <a:pPr>
              <a:defRPr sz="700"/>
            </a:pPr>
            <a:endParaRPr lang="pt-BR"/>
          </a:p>
        </c:txPr>
        <c:crossAx val="82530304"/>
        <c:crosses val="autoZero"/>
        <c:auto val="1"/>
        <c:lblAlgn val="ctr"/>
        <c:lblOffset val="100"/>
      </c:catAx>
      <c:valAx>
        <c:axId val="82530304"/>
        <c:scaling>
          <c:orientation val="minMax"/>
        </c:scaling>
        <c:axPos val="l"/>
        <c:majorGridlines/>
        <c:title>
          <c:tx>
            <c:rich>
              <a:bodyPr rot="-5400000" vert="horz"/>
              <a:lstStyle/>
              <a:p>
                <a:pPr>
                  <a:defRPr sz="800"/>
                </a:pPr>
                <a:r>
                  <a:rPr lang="pt-BR" sz="800"/>
                  <a:t>Taxa</a:t>
                </a:r>
              </a:p>
              <a:p>
                <a:pPr>
                  <a:defRPr sz="800"/>
                </a:pPr>
                <a:endParaRPr lang="pt-BR" sz="800"/>
              </a:p>
            </c:rich>
          </c:tx>
        </c:title>
        <c:numFmt formatCode="0.00%" sourceLinked="1"/>
        <c:tickLblPos val="nextTo"/>
        <c:txPr>
          <a:bodyPr/>
          <a:lstStyle/>
          <a:p>
            <a:pPr>
              <a:defRPr sz="700"/>
            </a:pPr>
            <a:endParaRPr lang="pt-BR"/>
          </a:p>
        </c:txPr>
        <c:crossAx val="82515840"/>
        <c:crosses val="autoZero"/>
        <c:crossBetween val="between"/>
      </c:valAx>
    </c:plotArea>
    <c:plotVisOnly val="1"/>
    <c:dispBlanksAs val="gap"/>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lang val="pt-BR"/>
  <c:chart>
    <c:plotArea>
      <c:layout>
        <c:manualLayout>
          <c:layoutTarget val="inner"/>
          <c:xMode val="edge"/>
          <c:yMode val="edge"/>
          <c:x val="0.15504802401735066"/>
          <c:y val="3.7511665208515607E-2"/>
          <c:w val="0.79713839155512489"/>
          <c:h val="0.65185746012517676"/>
        </c:manualLayout>
      </c:layout>
      <c:lineChart>
        <c:grouping val="standard"/>
        <c:ser>
          <c:idx val="4"/>
          <c:order val="0"/>
          <c:tx>
            <c:strRef>
              <c:f>'Renda Fixa acumulado'!$A$9</c:f>
              <c:strCache>
                <c:ptCount val="1"/>
                <c:pt idx="0">
                  <c:v>IMA-Geral</c:v>
                </c:pt>
              </c:strCache>
            </c:strRef>
          </c:tx>
          <c:marker>
            <c:symbol val="none"/>
          </c:marker>
          <c:dPt>
            <c:idx val="2"/>
            <c:spPr/>
            <c:extLst xmlns:c16r2="http://schemas.microsoft.com/office/drawing/2015/06/chart">
              <c:ext xmlns:c16="http://schemas.microsoft.com/office/drawing/2014/chart" uri="{C3380CC4-5D6E-409C-BE32-E72D297353CC}">
                <c16:uniqueId val="{00000001-C33A-447C-923E-2406329E972B}"/>
              </c:ext>
            </c:extLst>
          </c:dPt>
          <c:cat>
            <c:numRef>
              <c:f>'Renda Fixa acumulado'!$B$1:$J$1</c:f>
              <c:numCache>
                <c:formatCode>General</c:formatCode>
                <c:ptCount val="9"/>
                <c:pt idx="0">
                  <c:v>2015</c:v>
                </c:pt>
                <c:pt idx="1">
                  <c:v>2016</c:v>
                </c:pt>
                <c:pt idx="2">
                  <c:v>2017</c:v>
                </c:pt>
                <c:pt idx="3">
                  <c:v>2018</c:v>
                </c:pt>
                <c:pt idx="4">
                  <c:v>2019</c:v>
                </c:pt>
                <c:pt idx="5">
                  <c:v>2020</c:v>
                </c:pt>
                <c:pt idx="6">
                  <c:v>2021</c:v>
                </c:pt>
                <c:pt idx="7">
                  <c:v>2022</c:v>
                </c:pt>
                <c:pt idx="8">
                  <c:v>2023</c:v>
                </c:pt>
              </c:numCache>
            </c:numRef>
          </c:cat>
          <c:val>
            <c:numRef>
              <c:f>'Renda Fixa acumulado'!$B$9:$J$9</c:f>
              <c:numCache>
                <c:formatCode>#,##0.00_ ;\-#,##0.00\ </c:formatCode>
                <c:ptCount val="9"/>
                <c:pt idx="0">
                  <c:v>9.32</c:v>
                </c:pt>
                <c:pt idx="1">
                  <c:v>21.08</c:v>
                </c:pt>
                <c:pt idx="2">
                  <c:v>12.82</c:v>
                </c:pt>
                <c:pt idx="3">
                  <c:v>9.7956000000000003</c:v>
                </c:pt>
                <c:pt idx="4">
                  <c:v>12.821</c:v>
                </c:pt>
                <c:pt idx="5">
                  <c:v>5.3367000000000004</c:v>
                </c:pt>
                <c:pt idx="6">
                  <c:v>0.95970000000000011</c:v>
                </c:pt>
                <c:pt idx="7">
                  <c:v>9.66</c:v>
                </c:pt>
                <c:pt idx="8">
                  <c:v>14.8</c:v>
                </c:pt>
              </c:numCache>
            </c:numRef>
          </c:val>
          <c:extLst xmlns:c16r2="http://schemas.microsoft.com/office/drawing/2015/06/chart">
            <c:ext xmlns:c16="http://schemas.microsoft.com/office/drawing/2014/chart" uri="{C3380CC4-5D6E-409C-BE32-E72D297353CC}">
              <c16:uniqueId val="{00000002-C33A-447C-923E-2406329E972B}"/>
            </c:ext>
          </c:extLst>
        </c:ser>
        <c:ser>
          <c:idx val="6"/>
          <c:order val="1"/>
          <c:tx>
            <c:strRef>
              <c:f>'Renda Fixa acumulado'!$A$10</c:f>
              <c:strCache>
                <c:ptCount val="1"/>
                <c:pt idx="0">
                  <c:v>IPCA +6%</c:v>
                </c:pt>
              </c:strCache>
            </c:strRef>
          </c:tx>
          <c:spPr>
            <a:ln>
              <a:solidFill>
                <a:srgbClr val="FF0000"/>
              </a:solidFill>
            </a:ln>
          </c:spPr>
          <c:marker>
            <c:symbol val="none"/>
          </c:marker>
          <c:cat>
            <c:numRef>
              <c:f>'Renda Fixa acumulado'!$B$1:$J$1</c:f>
              <c:numCache>
                <c:formatCode>General</c:formatCode>
                <c:ptCount val="9"/>
                <c:pt idx="0">
                  <c:v>2015</c:v>
                </c:pt>
                <c:pt idx="1">
                  <c:v>2016</c:v>
                </c:pt>
                <c:pt idx="2">
                  <c:v>2017</c:v>
                </c:pt>
                <c:pt idx="3">
                  <c:v>2018</c:v>
                </c:pt>
                <c:pt idx="4">
                  <c:v>2019</c:v>
                </c:pt>
                <c:pt idx="5">
                  <c:v>2020</c:v>
                </c:pt>
                <c:pt idx="6">
                  <c:v>2021</c:v>
                </c:pt>
                <c:pt idx="7">
                  <c:v>2022</c:v>
                </c:pt>
                <c:pt idx="8">
                  <c:v>2023</c:v>
                </c:pt>
              </c:numCache>
            </c:numRef>
          </c:cat>
          <c:val>
            <c:numRef>
              <c:f>'Renda Fixa acumulado'!$B$10:$J$10</c:f>
              <c:numCache>
                <c:formatCode>#,##0.00_ ;\-#,##0.00\ </c:formatCode>
                <c:ptCount val="9"/>
                <c:pt idx="0">
                  <c:v>16.670000000000005</c:v>
                </c:pt>
                <c:pt idx="1">
                  <c:v>12.29</c:v>
                </c:pt>
                <c:pt idx="2">
                  <c:v>8.9500000000000011</c:v>
                </c:pt>
                <c:pt idx="3">
                  <c:v>9.75</c:v>
                </c:pt>
                <c:pt idx="4">
                  <c:v>10.31</c:v>
                </c:pt>
                <c:pt idx="5">
                  <c:v>10.52</c:v>
                </c:pt>
                <c:pt idx="6">
                  <c:v>16.059999999999999</c:v>
                </c:pt>
                <c:pt idx="7">
                  <c:v>11.79</c:v>
                </c:pt>
                <c:pt idx="8">
                  <c:v>10.62</c:v>
                </c:pt>
              </c:numCache>
            </c:numRef>
          </c:val>
          <c:extLst xmlns:c16r2="http://schemas.microsoft.com/office/drawing/2015/06/chart">
            <c:ext xmlns:c16="http://schemas.microsoft.com/office/drawing/2014/chart" uri="{C3380CC4-5D6E-409C-BE32-E72D297353CC}">
              <c16:uniqueId val="{00000003-C33A-447C-923E-2406329E972B}"/>
            </c:ext>
          </c:extLst>
        </c:ser>
        <c:dLbls/>
        <c:marker val="1"/>
        <c:axId val="82581760"/>
        <c:axId val="82596224"/>
      </c:lineChart>
      <c:catAx>
        <c:axId val="82581760"/>
        <c:scaling>
          <c:orientation val="minMax"/>
        </c:scaling>
        <c:axPos val="b"/>
        <c:title>
          <c:tx>
            <c:rich>
              <a:bodyPr/>
              <a:lstStyle/>
              <a:p>
                <a:pPr>
                  <a:defRPr sz="900"/>
                </a:pPr>
                <a:r>
                  <a:rPr lang="en-US" sz="900"/>
                  <a:t>ANOS</a:t>
                </a:r>
              </a:p>
            </c:rich>
          </c:tx>
          <c:layout>
            <c:manualLayout>
              <c:xMode val="edge"/>
              <c:yMode val="edge"/>
              <c:x val="0.44089974421987066"/>
              <c:y val="0.91987179487179482"/>
            </c:manualLayout>
          </c:layout>
        </c:title>
        <c:numFmt formatCode="General" sourceLinked="1"/>
        <c:tickLblPos val="nextTo"/>
        <c:txPr>
          <a:bodyPr rot="0" vert="horz" anchor="b" anchorCtr="1"/>
          <a:lstStyle/>
          <a:p>
            <a:pPr>
              <a:defRPr sz="800"/>
            </a:pPr>
            <a:endParaRPr lang="pt-BR"/>
          </a:p>
        </c:txPr>
        <c:crossAx val="82596224"/>
        <c:crosses val="autoZero"/>
        <c:auto val="1"/>
        <c:lblAlgn val="ctr"/>
        <c:lblOffset val="100"/>
      </c:catAx>
      <c:valAx>
        <c:axId val="82596224"/>
        <c:scaling>
          <c:orientation val="minMax"/>
        </c:scaling>
        <c:axPos val="l"/>
        <c:majorGridlines/>
        <c:title>
          <c:tx>
            <c:rich>
              <a:bodyPr rot="-5400000" vert="horz"/>
              <a:lstStyle/>
              <a:p>
                <a:pPr>
                  <a:defRPr sz="900"/>
                </a:pPr>
                <a:r>
                  <a:rPr lang="en-US" sz="900"/>
                  <a:t>Rentabilidade %</a:t>
                </a:r>
              </a:p>
            </c:rich>
          </c:tx>
          <c:layout>
            <c:manualLayout>
              <c:xMode val="edge"/>
              <c:yMode val="edge"/>
              <c:x val="2.0455644958691926E-2"/>
              <c:y val="0.25049006374203231"/>
            </c:manualLayout>
          </c:layout>
        </c:title>
        <c:numFmt formatCode="#,##0.00_ ;\-#,##0.00\ " sourceLinked="1"/>
        <c:tickLblPos val="nextTo"/>
        <c:txPr>
          <a:bodyPr/>
          <a:lstStyle/>
          <a:p>
            <a:pPr>
              <a:defRPr sz="800"/>
            </a:pPr>
            <a:endParaRPr lang="pt-BR"/>
          </a:p>
        </c:txPr>
        <c:crossAx val="82581760"/>
        <c:crosses val="autoZero"/>
        <c:crossBetween val="midCat"/>
      </c:valAx>
    </c:plotArea>
    <c:legend>
      <c:legendPos val="b"/>
      <c:layout>
        <c:manualLayout>
          <c:xMode val="edge"/>
          <c:yMode val="edge"/>
          <c:x val="0.32380689674937141"/>
          <c:y val="0.82443199407766321"/>
          <c:w val="0.27959275791163046"/>
          <c:h val="7.7277407631738348E-2"/>
        </c:manualLayout>
      </c:layout>
      <c:txPr>
        <a:bodyPr/>
        <a:lstStyle/>
        <a:p>
          <a:pPr>
            <a:defRPr sz="800"/>
          </a:pPr>
          <a:endParaRPr lang="pt-BR"/>
        </a:p>
      </c:txPr>
    </c:legend>
    <c:plotVisOnly val="1"/>
    <c:dispBlanksAs val="gap"/>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lang val="pt-BR"/>
  <c:chart>
    <c:plotArea>
      <c:layout>
        <c:manualLayout>
          <c:layoutTarget val="inner"/>
          <c:xMode val="edge"/>
          <c:yMode val="edge"/>
          <c:x val="0.23853211009174316"/>
          <c:y val="3.3018905949322344E-2"/>
          <c:w val="0.73394495412844063"/>
          <c:h val="0.65094414585806892"/>
        </c:manualLayout>
      </c:layout>
      <c:lineChart>
        <c:grouping val="standard"/>
        <c:ser>
          <c:idx val="0"/>
          <c:order val="0"/>
          <c:tx>
            <c:strRef>
              <c:f>'Renda Fixa 2024'!$A$31</c:f>
              <c:strCache>
                <c:ptCount val="1"/>
                <c:pt idx="0">
                  <c:v>IRF-M</c:v>
                </c:pt>
              </c:strCache>
            </c:strRef>
          </c:tx>
          <c:marker>
            <c:symbol val="none"/>
          </c:marker>
          <c:cat>
            <c:strRef>
              <c:f>'Renda Fixa 2024'!$B$30:$K$30</c:f>
              <c:strCache>
                <c:ptCount val="10"/>
                <c:pt idx="0">
                  <c:v>jan</c:v>
                </c:pt>
                <c:pt idx="1">
                  <c:v>fev</c:v>
                </c:pt>
                <c:pt idx="2">
                  <c:v>mar</c:v>
                </c:pt>
                <c:pt idx="3">
                  <c:v>abr</c:v>
                </c:pt>
                <c:pt idx="4">
                  <c:v>mai</c:v>
                </c:pt>
                <c:pt idx="5">
                  <c:v>jun</c:v>
                </c:pt>
                <c:pt idx="6">
                  <c:v>jul</c:v>
                </c:pt>
                <c:pt idx="7">
                  <c:v>ago</c:v>
                </c:pt>
                <c:pt idx="8">
                  <c:v>set</c:v>
                </c:pt>
                <c:pt idx="9">
                  <c:v>out</c:v>
                </c:pt>
              </c:strCache>
            </c:strRef>
          </c:cat>
          <c:val>
            <c:numRef>
              <c:f>'Renda Fixa 2024'!$B$31:$K$31</c:f>
              <c:numCache>
                <c:formatCode>0.00</c:formatCode>
                <c:ptCount val="10"/>
                <c:pt idx="0">
                  <c:v>0.6664000000000001</c:v>
                </c:pt>
                <c:pt idx="1">
                  <c:v>1.1298681056000071</c:v>
                </c:pt>
                <c:pt idx="2">
                  <c:v>1.6759693933702466</c:v>
                </c:pt>
                <c:pt idx="3">
                  <c:v>1.1472543525247179</c:v>
                </c:pt>
                <c:pt idx="4">
                  <c:v>1.8148262312513761</c:v>
                </c:pt>
                <c:pt idx="5">
                  <c:v>1.5195632351807429</c:v>
                </c:pt>
                <c:pt idx="6">
                  <c:v>2.8799253825321669</c:v>
                </c:pt>
                <c:pt idx="7">
                  <c:v>3.5589328900568646</c:v>
                </c:pt>
                <c:pt idx="8">
                  <c:v>3.9110332618830679</c:v>
                </c:pt>
                <c:pt idx="9">
                  <c:v>4.1292464317330264</c:v>
                </c:pt>
              </c:numCache>
            </c:numRef>
          </c:val>
          <c:extLst xmlns:c16r2="http://schemas.microsoft.com/office/drawing/2015/06/chart">
            <c:ext xmlns:c16="http://schemas.microsoft.com/office/drawing/2014/chart" uri="{C3380CC4-5D6E-409C-BE32-E72D297353CC}">
              <c16:uniqueId val="{00000000-1F93-4FB1-9D12-E8D32435106A}"/>
            </c:ext>
          </c:extLst>
        </c:ser>
        <c:ser>
          <c:idx val="1"/>
          <c:order val="1"/>
          <c:tx>
            <c:strRef>
              <c:f>'Renda Fixa 2024'!$A$32</c:f>
              <c:strCache>
                <c:ptCount val="1"/>
                <c:pt idx="0">
                  <c:v>IMA-B</c:v>
                </c:pt>
              </c:strCache>
            </c:strRef>
          </c:tx>
          <c:marker>
            <c:symbol val="none"/>
          </c:marker>
          <c:cat>
            <c:strRef>
              <c:f>'Renda Fixa 2024'!$B$30:$K$30</c:f>
              <c:strCache>
                <c:ptCount val="10"/>
                <c:pt idx="0">
                  <c:v>jan</c:v>
                </c:pt>
                <c:pt idx="1">
                  <c:v>fev</c:v>
                </c:pt>
                <c:pt idx="2">
                  <c:v>mar</c:v>
                </c:pt>
                <c:pt idx="3">
                  <c:v>abr</c:v>
                </c:pt>
                <c:pt idx="4">
                  <c:v>mai</c:v>
                </c:pt>
                <c:pt idx="5">
                  <c:v>jun</c:v>
                </c:pt>
                <c:pt idx="6">
                  <c:v>jul</c:v>
                </c:pt>
                <c:pt idx="7">
                  <c:v>ago</c:v>
                </c:pt>
                <c:pt idx="8">
                  <c:v>set</c:v>
                </c:pt>
                <c:pt idx="9">
                  <c:v>out</c:v>
                </c:pt>
              </c:strCache>
            </c:strRef>
          </c:cat>
          <c:val>
            <c:numRef>
              <c:f>'Renda Fixa 2024'!$B$32:$K$32</c:f>
              <c:numCache>
                <c:formatCode>0.00</c:formatCode>
                <c:ptCount val="10"/>
                <c:pt idx="0">
                  <c:v>-0.44950000000000001</c:v>
                </c:pt>
                <c:pt idx="1">
                  <c:v>9.7629547999988922E-2</c:v>
                </c:pt>
                <c:pt idx="2">
                  <c:v>0.17770765163838131</c:v>
                </c:pt>
                <c:pt idx="3">
                  <c:v>-1.4351534415529941</c:v>
                </c:pt>
                <c:pt idx="4">
                  <c:v>-0.12424098232564075</c:v>
                </c:pt>
                <c:pt idx="5">
                  <c:v>-1.0930358447970858</c:v>
                </c:pt>
                <c:pt idx="6">
                  <c:v>0.97411970604663889</c:v>
                </c:pt>
                <c:pt idx="7">
                  <c:v>1.4991851285180993</c:v>
                </c:pt>
                <c:pt idx="8">
                  <c:v>0.81914058815701907</c:v>
                </c:pt>
                <c:pt idx="9">
                  <c:v>0.1638161743340083</c:v>
                </c:pt>
              </c:numCache>
            </c:numRef>
          </c:val>
          <c:extLst xmlns:c16r2="http://schemas.microsoft.com/office/drawing/2015/06/chart">
            <c:ext xmlns:c16="http://schemas.microsoft.com/office/drawing/2014/chart" uri="{C3380CC4-5D6E-409C-BE32-E72D297353CC}">
              <c16:uniqueId val="{00000001-1F93-4FB1-9D12-E8D32435106A}"/>
            </c:ext>
          </c:extLst>
        </c:ser>
        <c:ser>
          <c:idx val="4"/>
          <c:order val="2"/>
          <c:tx>
            <c:strRef>
              <c:f>'Renda Fixa 2024'!$A$33</c:f>
              <c:strCache>
                <c:ptCount val="1"/>
                <c:pt idx="0">
                  <c:v>IMA-Geral</c:v>
                </c:pt>
              </c:strCache>
            </c:strRef>
          </c:tx>
          <c:marker>
            <c:symbol val="none"/>
          </c:marker>
          <c:cat>
            <c:strRef>
              <c:f>'Renda Fixa 2024'!$B$30:$K$30</c:f>
              <c:strCache>
                <c:ptCount val="10"/>
                <c:pt idx="0">
                  <c:v>jan</c:v>
                </c:pt>
                <c:pt idx="1">
                  <c:v>fev</c:v>
                </c:pt>
                <c:pt idx="2">
                  <c:v>mar</c:v>
                </c:pt>
                <c:pt idx="3">
                  <c:v>abr</c:v>
                </c:pt>
                <c:pt idx="4">
                  <c:v>mai</c:v>
                </c:pt>
                <c:pt idx="5">
                  <c:v>jun</c:v>
                </c:pt>
                <c:pt idx="6">
                  <c:v>jul</c:v>
                </c:pt>
                <c:pt idx="7">
                  <c:v>ago</c:v>
                </c:pt>
                <c:pt idx="8">
                  <c:v>set</c:v>
                </c:pt>
                <c:pt idx="9">
                  <c:v>out</c:v>
                </c:pt>
              </c:strCache>
            </c:strRef>
          </c:cat>
          <c:val>
            <c:numRef>
              <c:f>'Renda Fixa 2024'!$B$33:$K$33</c:f>
              <c:numCache>
                <c:formatCode>0.00</c:formatCode>
                <c:ptCount val="10"/>
                <c:pt idx="0">
                  <c:v>0.47000000000000003</c:v>
                </c:pt>
                <c:pt idx="1">
                  <c:v>1.113007999999982</c:v>
                </c:pt>
                <c:pt idx="2">
                  <c:v>1.638795641599988</c:v>
                </c:pt>
                <c:pt idx="3">
                  <c:v>1.4151902911884613</c:v>
                </c:pt>
                <c:pt idx="4">
                  <c:v>2.3684930799256376</c:v>
                </c:pt>
                <c:pt idx="5">
                  <c:v>2.4196773264655969</c:v>
                </c:pt>
                <c:pt idx="6">
                  <c:v>3.812584938105545</c:v>
                </c:pt>
                <c:pt idx="7">
                  <c:v>4.6327043591165786</c:v>
                </c:pt>
                <c:pt idx="8">
                  <c:v>4.9884555539375866</c:v>
                </c:pt>
                <c:pt idx="9">
                  <c:v>5.3874116850425535</c:v>
                </c:pt>
              </c:numCache>
            </c:numRef>
          </c:val>
          <c:extLst xmlns:c16r2="http://schemas.microsoft.com/office/drawing/2015/06/chart">
            <c:ext xmlns:c16="http://schemas.microsoft.com/office/drawing/2014/chart" uri="{C3380CC4-5D6E-409C-BE32-E72D297353CC}">
              <c16:uniqueId val="{00000002-1F93-4FB1-9D12-E8D32435106A}"/>
            </c:ext>
          </c:extLst>
        </c:ser>
        <c:ser>
          <c:idx val="5"/>
          <c:order val="3"/>
          <c:tx>
            <c:strRef>
              <c:f>'Renda Fixa 2024'!$A$34</c:f>
              <c:strCache>
                <c:ptCount val="1"/>
                <c:pt idx="0">
                  <c:v>CDI</c:v>
                </c:pt>
              </c:strCache>
            </c:strRef>
          </c:tx>
          <c:marker>
            <c:symbol val="none"/>
          </c:marker>
          <c:cat>
            <c:strRef>
              <c:f>'Renda Fixa 2024'!$B$30:$K$30</c:f>
              <c:strCache>
                <c:ptCount val="10"/>
                <c:pt idx="0">
                  <c:v>jan</c:v>
                </c:pt>
                <c:pt idx="1">
                  <c:v>fev</c:v>
                </c:pt>
                <c:pt idx="2">
                  <c:v>mar</c:v>
                </c:pt>
                <c:pt idx="3">
                  <c:v>abr</c:v>
                </c:pt>
                <c:pt idx="4">
                  <c:v>mai</c:v>
                </c:pt>
                <c:pt idx="5">
                  <c:v>jun</c:v>
                </c:pt>
                <c:pt idx="6">
                  <c:v>jul</c:v>
                </c:pt>
                <c:pt idx="7">
                  <c:v>ago</c:v>
                </c:pt>
                <c:pt idx="8">
                  <c:v>set</c:v>
                </c:pt>
                <c:pt idx="9">
                  <c:v>out</c:v>
                </c:pt>
              </c:strCache>
            </c:strRef>
          </c:cat>
          <c:val>
            <c:numRef>
              <c:f>'Renda Fixa 2024'!$B$34:$K$34</c:f>
              <c:numCache>
                <c:formatCode>0.00</c:formatCode>
                <c:ptCount val="10"/>
                <c:pt idx="0">
                  <c:v>0.97000000000000008</c:v>
                </c:pt>
                <c:pt idx="1">
                  <c:v>1.7777600000000058</c:v>
                </c:pt>
                <c:pt idx="2">
                  <c:v>2.6225154080000035</c:v>
                </c:pt>
                <c:pt idx="3">
                  <c:v>3.5358557951312033</c:v>
                </c:pt>
                <c:pt idx="4">
                  <c:v>4.3952033982307857</c:v>
                </c:pt>
                <c:pt idx="5">
                  <c:v>5.2199255050768167</c:v>
                </c:pt>
                <c:pt idx="6">
                  <c:v>6.1774268271730373</c:v>
                </c:pt>
                <c:pt idx="7">
                  <c:v>7.1011704405694376</c:v>
                </c:pt>
                <c:pt idx="8">
                  <c:v>8.0008202722702251</c:v>
                </c:pt>
                <c:pt idx="9">
                  <c:v>9.0052279008023373</c:v>
                </c:pt>
              </c:numCache>
            </c:numRef>
          </c:val>
          <c:extLst xmlns:c16r2="http://schemas.microsoft.com/office/drawing/2015/06/chart">
            <c:ext xmlns:c16="http://schemas.microsoft.com/office/drawing/2014/chart" uri="{C3380CC4-5D6E-409C-BE32-E72D297353CC}">
              <c16:uniqueId val="{00000003-1F93-4FB1-9D12-E8D32435106A}"/>
            </c:ext>
          </c:extLst>
        </c:ser>
        <c:ser>
          <c:idx val="6"/>
          <c:order val="4"/>
          <c:tx>
            <c:strRef>
              <c:f>'Renda Fixa 2024'!$A$35</c:f>
              <c:strCache>
                <c:ptCount val="1"/>
                <c:pt idx="0">
                  <c:v>IPCA +6% a.a.</c:v>
                </c:pt>
              </c:strCache>
            </c:strRef>
          </c:tx>
          <c:spPr>
            <a:ln w="28575">
              <a:solidFill>
                <a:schemeClr val="tx1"/>
              </a:solidFill>
              <a:prstDash val="dash"/>
            </a:ln>
          </c:spPr>
          <c:marker>
            <c:symbol val="none"/>
          </c:marker>
          <c:cat>
            <c:strRef>
              <c:f>'Renda Fixa 2024'!$B$30:$K$30</c:f>
              <c:strCache>
                <c:ptCount val="10"/>
                <c:pt idx="0">
                  <c:v>jan</c:v>
                </c:pt>
                <c:pt idx="1">
                  <c:v>fev</c:v>
                </c:pt>
                <c:pt idx="2">
                  <c:v>mar</c:v>
                </c:pt>
                <c:pt idx="3">
                  <c:v>abr</c:v>
                </c:pt>
                <c:pt idx="4">
                  <c:v>mai</c:v>
                </c:pt>
                <c:pt idx="5">
                  <c:v>jun</c:v>
                </c:pt>
                <c:pt idx="6">
                  <c:v>jul</c:v>
                </c:pt>
                <c:pt idx="7">
                  <c:v>ago</c:v>
                </c:pt>
                <c:pt idx="8">
                  <c:v>set</c:v>
                </c:pt>
                <c:pt idx="9">
                  <c:v>out</c:v>
                </c:pt>
              </c:strCache>
            </c:strRef>
          </c:cat>
          <c:val>
            <c:numRef>
              <c:f>'Renda Fixa 2024'!$B$35:$K$35</c:f>
              <c:numCache>
                <c:formatCode>0.00</c:formatCode>
                <c:ptCount val="10"/>
                <c:pt idx="0">
                  <c:v>0.90879937099999097</c:v>
                </c:pt>
                <c:pt idx="1">
                  <c:v>2.2415978147565245</c:v>
                </c:pt>
                <c:pt idx="2">
                  <c:v>2.9036467264464516</c:v>
                </c:pt>
                <c:pt idx="3">
                  <c:v>3.7974726064836202</c:v>
                </c:pt>
                <c:pt idx="4">
                  <c:v>4.7825044694429488</c:v>
                </c:pt>
                <c:pt idx="5">
                  <c:v>5.5136528800262097</c:v>
                </c:pt>
                <c:pt idx="6">
                  <c:v>6.4301493953745652</c:v>
                </c:pt>
                <c:pt idx="7">
                  <c:v>6.9268138283701921</c:v>
                </c:pt>
                <c:pt idx="8">
                  <c:v>7.9200534969609437</c:v>
                </c:pt>
                <c:pt idx="9">
                  <c:v>9.0309646960282208</c:v>
                </c:pt>
              </c:numCache>
            </c:numRef>
          </c:val>
          <c:extLst xmlns:c16r2="http://schemas.microsoft.com/office/drawing/2015/06/chart">
            <c:ext xmlns:c16="http://schemas.microsoft.com/office/drawing/2014/chart" uri="{C3380CC4-5D6E-409C-BE32-E72D297353CC}">
              <c16:uniqueId val="{00000004-1F93-4FB1-9D12-E8D32435106A}"/>
            </c:ext>
          </c:extLst>
        </c:ser>
        <c:dLbls/>
        <c:marker val="1"/>
        <c:axId val="82639872"/>
        <c:axId val="82387712"/>
      </c:lineChart>
      <c:catAx>
        <c:axId val="82639872"/>
        <c:scaling>
          <c:orientation val="minMax"/>
        </c:scaling>
        <c:axPos val="b"/>
        <c:numFmt formatCode="General" sourceLinked="0"/>
        <c:tickLblPos val="nextTo"/>
        <c:crossAx val="82387712"/>
        <c:crosses val="autoZero"/>
        <c:auto val="1"/>
        <c:lblAlgn val="ctr"/>
        <c:lblOffset val="100"/>
      </c:catAx>
      <c:valAx>
        <c:axId val="82387712"/>
        <c:scaling>
          <c:orientation val="minMax"/>
        </c:scaling>
        <c:axPos val="l"/>
        <c:majorGridlines/>
        <c:title>
          <c:tx>
            <c:rich>
              <a:bodyPr rot="-5400000" vert="horz"/>
              <a:lstStyle/>
              <a:p>
                <a:pPr>
                  <a:defRPr sz="1000"/>
                </a:pPr>
                <a:r>
                  <a:rPr lang="en-US" sz="1000"/>
                  <a:t>Taxa Acumulada no Ano (%)</a:t>
                </a:r>
              </a:p>
            </c:rich>
          </c:tx>
          <c:layout>
            <c:manualLayout>
              <c:xMode val="edge"/>
              <c:yMode val="edge"/>
              <c:x val="3.7989545396758931E-2"/>
              <c:y val="0.14453772183032437"/>
            </c:manualLayout>
          </c:layout>
        </c:title>
        <c:numFmt formatCode="0.00" sourceLinked="1"/>
        <c:tickLblPos val="nextTo"/>
        <c:txPr>
          <a:bodyPr/>
          <a:lstStyle/>
          <a:p>
            <a:pPr>
              <a:defRPr sz="800"/>
            </a:pPr>
            <a:endParaRPr lang="pt-BR"/>
          </a:p>
        </c:txPr>
        <c:crossAx val="82639872"/>
        <c:crosses val="autoZero"/>
        <c:crossBetween val="between"/>
      </c:valAx>
      <c:dTable>
        <c:showHorzBorder val="1"/>
        <c:showVertBorder val="1"/>
        <c:showOutline val="1"/>
        <c:showKeys val="1"/>
        <c:txPr>
          <a:bodyPr/>
          <a:lstStyle/>
          <a:p>
            <a:pPr rtl="0">
              <a:defRPr sz="800"/>
            </a:pPr>
            <a:endParaRPr lang="pt-BR"/>
          </a:p>
        </c:txPr>
      </c:dTable>
    </c:plotArea>
    <c:plotVisOnly val="1"/>
    <c:dispBlanksAs val="gap"/>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lang val="pt-BR"/>
  <c:chart>
    <c:plotArea>
      <c:layout>
        <c:manualLayout>
          <c:layoutTarget val="inner"/>
          <c:xMode val="edge"/>
          <c:yMode val="edge"/>
          <c:x val="0.23486238532110096"/>
          <c:y val="2.3584932820944534E-2"/>
          <c:w val="0.73027522935779832"/>
          <c:h val="0.70283099806414684"/>
        </c:manualLayout>
      </c:layout>
      <c:lineChart>
        <c:grouping val="standard"/>
        <c:ser>
          <c:idx val="0"/>
          <c:order val="0"/>
          <c:tx>
            <c:strRef>
              <c:f>'Renda Fixa 2024'!$A$94</c:f>
              <c:strCache>
                <c:ptCount val="1"/>
                <c:pt idx="0">
                  <c:v>IRF-M1+</c:v>
                </c:pt>
              </c:strCache>
            </c:strRef>
          </c:tx>
          <c:marker>
            <c:symbol val="none"/>
          </c:marker>
          <c:cat>
            <c:strRef>
              <c:f>'Renda Fixa 2024'!$B$61:$K$61</c:f>
              <c:strCache>
                <c:ptCount val="10"/>
                <c:pt idx="0">
                  <c:v>jan</c:v>
                </c:pt>
                <c:pt idx="1">
                  <c:v>fev</c:v>
                </c:pt>
                <c:pt idx="2">
                  <c:v>mar</c:v>
                </c:pt>
                <c:pt idx="3">
                  <c:v>abr</c:v>
                </c:pt>
                <c:pt idx="4">
                  <c:v>mai</c:v>
                </c:pt>
                <c:pt idx="5">
                  <c:v>jun</c:v>
                </c:pt>
                <c:pt idx="6">
                  <c:v>jul</c:v>
                </c:pt>
                <c:pt idx="7">
                  <c:v>ago</c:v>
                </c:pt>
                <c:pt idx="8">
                  <c:v>set</c:v>
                </c:pt>
                <c:pt idx="9">
                  <c:v>out</c:v>
                </c:pt>
              </c:strCache>
            </c:strRef>
          </c:cat>
          <c:val>
            <c:numRef>
              <c:f>'Renda Fixa 2024'!$B$94:$K$94</c:f>
              <c:numCache>
                <c:formatCode>0.00</c:formatCode>
                <c:ptCount val="10"/>
                <c:pt idx="0">
                  <c:v>0.59660000000000002</c:v>
                </c:pt>
                <c:pt idx="1">
                  <c:v>0.93923201960000047</c:v>
                </c:pt>
                <c:pt idx="2">
                  <c:v>1.3694350264675361</c:v>
                </c:pt>
                <c:pt idx="3">
                  <c:v>0.33546678919755846</c:v>
                </c:pt>
                <c:pt idx="4">
                  <c:v>0.9374795899327546</c:v>
                </c:pt>
                <c:pt idx="5">
                  <c:v>0.21072973688525123</c:v>
                </c:pt>
                <c:pt idx="6">
                  <c:v>1.7639960478069701</c:v>
                </c:pt>
                <c:pt idx="7">
                  <c:v>2.3745800240938078</c:v>
                </c:pt>
                <c:pt idx="8">
                  <c:v>2.4871920621203145</c:v>
                </c:pt>
                <c:pt idx="9">
                  <c:v>2.3437099932333445</c:v>
                </c:pt>
              </c:numCache>
            </c:numRef>
          </c:val>
          <c:extLst xmlns:c16r2="http://schemas.microsoft.com/office/drawing/2015/06/chart">
            <c:ext xmlns:c16="http://schemas.microsoft.com/office/drawing/2014/chart" uri="{C3380CC4-5D6E-409C-BE32-E72D297353CC}">
              <c16:uniqueId val="{00000000-6A69-4F3E-8039-DB907CFF7A39}"/>
            </c:ext>
          </c:extLst>
        </c:ser>
        <c:ser>
          <c:idx val="1"/>
          <c:order val="1"/>
          <c:tx>
            <c:strRef>
              <c:f>'Renda Fixa 2024'!$A$95</c:f>
              <c:strCache>
                <c:ptCount val="1"/>
                <c:pt idx="0">
                  <c:v>IMA-B5+</c:v>
                </c:pt>
              </c:strCache>
            </c:strRef>
          </c:tx>
          <c:marker>
            <c:symbol val="none"/>
          </c:marker>
          <c:cat>
            <c:strRef>
              <c:f>'Renda Fixa 2024'!$B$61:$K$61</c:f>
              <c:strCache>
                <c:ptCount val="10"/>
                <c:pt idx="0">
                  <c:v>jan</c:v>
                </c:pt>
                <c:pt idx="1">
                  <c:v>fev</c:v>
                </c:pt>
                <c:pt idx="2">
                  <c:v>mar</c:v>
                </c:pt>
                <c:pt idx="3">
                  <c:v>abr</c:v>
                </c:pt>
                <c:pt idx="4">
                  <c:v>mai</c:v>
                </c:pt>
                <c:pt idx="5">
                  <c:v>jun</c:v>
                </c:pt>
                <c:pt idx="6">
                  <c:v>jul</c:v>
                </c:pt>
                <c:pt idx="7">
                  <c:v>ago</c:v>
                </c:pt>
                <c:pt idx="8">
                  <c:v>set</c:v>
                </c:pt>
                <c:pt idx="9">
                  <c:v>out</c:v>
                </c:pt>
              </c:strCache>
            </c:strRef>
          </c:cat>
          <c:val>
            <c:numRef>
              <c:f>'Renda Fixa 2024'!$B$95:$K$95</c:f>
              <c:numCache>
                <c:formatCode>0.00</c:formatCode>
                <c:ptCount val="10"/>
                <c:pt idx="0">
                  <c:v>-1.4669999999999999</c:v>
                </c:pt>
                <c:pt idx="1">
                  <c:v>-0.96300370499999843</c:v>
                </c:pt>
                <c:pt idx="2">
                  <c:v>-1.5077071846224976</c:v>
                </c:pt>
                <c:pt idx="3">
                  <c:v>-4.3738329055499792</c:v>
                </c:pt>
                <c:pt idx="4">
                  <c:v>-2.8533768487482236</c:v>
                </c:pt>
                <c:pt idx="5">
                  <c:v>-5.0391758696513795</c:v>
                </c:pt>
                <c:pt idx="6">
                  <c:v>-1.9624451678280865</c:v>
                </c:pt>
                <c:pt idx="7">
                  <c:v>-1.2075559956203574</c:v>
                </c:pt>
                <c:pt idx="8">
                  <c:v>-2.6104087004825471</c:v>
                </c:pt>
                <c:pt idx="9">
                  <c:v>-4.2270759160545346</c:v>
                </c:pt>
              </c:numCache>
            </c:numRef>
          </c:val>
          <c:extLst xmlns:c16r2="http://schemas.microsoft.com/office/drawing/2015/06/chart">
            <c:ext xmlns:c16="http://schemas.microsoft.com/office/drawing/2014/chart" uri="{C3380CC4-5D6E-409C-BE32-E72D297353CC}">
              <c16:uniqueId val="{00000001-6A69-4F3E-8039-DB907CFF7A39}"/>
            </c:ext>
          </c:extLst>
        </c:ser>
        <c:ser>
          <c:idx val="6"/>
          <c:order val="2"/>
          <c:tx>
            <c:strRef>
              <c:f>'Renda Fixa 2024'!$A$96</c:f>
              <c:strCache>
                <c:ptCount val="1"/>
                <c:pt idx="0">
                  <c:v>IPCA +6% a.a.</c:v>
                </c:pt>
              </c:strCache>
            </c:strRef>
          </c:tx>
          <c:spPr>
            <a:ln>
              <a:solidFill>
                <a:schemeClr val="tx1"/>
              </a:solidFill>
              <a:prstDash val="dash"/>
            </a:ln>
          </c:spPr>
          <c:marker>
            <c:symbol val="none"/>
          </c:marker>
          <c:cat>
            <c:strRef>
              <c:f>'Renda Fixa 2024'!$B$61:$K$61</c:f>
              <c:strCache>
                <c:ptCount val="10"/>
                <c:pt idx="0">
                  <c:v>jan</c:v>
                </c:pt>
                <c:pt idx="1">
                  <c:v>fev</c:v>
                </c:pt>
                <c:pt idx="2">
                  <c:v>mar</c:v>
                </c:pt>
                <c:pt idx="3">
                  <c:v>abr</c:v>
                </c:pt>
                <c:pt idx="4">
                  <c:v>mai</c:v>
                </c:pt>
                <c:pt idx="5">
                  <c:v>jun</c:v>
                </c:pt>
                <c:pt idx="6">
                  <c:v>jul</c:v>
                </c:pt>
                <c:pt idx="7">
                  <c:v>ago</c:v>
                </c:pt>
                <c:pt idx="8">
                  <c:v>set</c:v>
                </c:pt>
                <c:pt idx="9">
                  <c:v>out</c:v>
                </c:pt>
              </c:strCache>
            </c:strRef>
          </c:cat>
          <c:val>
            <c:numRef>
              <c:f>'Renda Fixa 2024'!$B$96:$K$96</c:f>
              <c:numCache>
                <c:formatCode>0.00</c:formatCode>
                <c:ptCount val="10"/>
                <c:pt idx="0">
                  <c:v>0.90879937099999097</c:v>
                </c:pt>
                <c:pt idx="1">
                  <c:v>2.2415978147565245</c:v>
                </c:pt>
                <c:pt idx="2">
                  <c:v>2.9036467264464516</c:v>
                </c:pt>
                <c:pt idx="3">
                  <c:v>3.7974726064836202</c:v>
                </c:pt>
                <c:pt idx="4">
                  <c:v>4.7825044694429488</c:v>
                </c:pt>
                <c:pt idx="5">
                  <c:v>5.5136528800262097</c:v>
                </c:pt>
                <c:pt idx="6">
                  <c:v>6.4301493953745652</c:v>
                </c:pt>
                <c:pt idx="7">
                  <c:v>6.9268138283701921</c:v>
                </c:pt>
                <c:pt idx="8">
                  <c:v>7.9200534969609437</c:v>
                </c:pt>
                <c:pt idx="9">
                  <c:v>9.0309646960282208</c:v>
                </c:pt>
              </c:numCache>
            </c:numRef>
          </c:val>
          <c:extLst xmlns:c16r2="http://schemas.microsoft.com/office/drawing/2015/06/chart">
            <c:ext xmlns:c16="http://schemas.microsoft.com/office/drawing/2014/chart" uri="{C3380CC4-5D6E-409C-BE32-E72D297353CC}">
              <c16:uniqueId val="{00000002-6A69-4F3E-8039-DB907CFF7A39}"/>
            </c:ext>
          </c:extLst>
        </c:ser>
        <c:dLbls/>
        <c:marker val="1"/>
        <c:axId val="82421248"/>
        <c:axId val="82422784"/>
      </c:lineChart>
      <c:catAx>
        <c:axId val="82421248"/>
        <c:scaling>
          <c:orientation val="minMax"/>
        </c:scaling>
        <c:axPos val="b"/>
        <c:numFmt formatCode="General" sourceLinked="0"/>
        <c:tickLblPos val="nextTo"/>
        <c:crossAx val="82422784"/>
        <c:crosses val="autoZero"/>
        <c:auto val="1"/>
        <c:lblAlgn val="ctr"/>
        <c:lblOffset val="100"/>
      </c:catAx>
      <c:valAx>
        <c:axId val="82422784"/>
        <c:scaling>
          <c:orientation val="minMax"/>
        </c:scaling>
        <c:axPos val="l"/>
        <c:majorGridlines/>
        <c:title>
          <c:tx>
            <c:rich>
              <a:bodyPr rot="-5400000" vert="horz"/>
              <a:lstStyle/>
              <a:p>
                <a:pPr>
                  <a:defRPr sz="900"/>
                </a:pPr>
                <a:r>
                  <a:rPr lang="en-US" sz="900"/>
                  <a:t>Taxa Acumulada no Ano (%)</a:t>
                </a:r>
              </a:p>
            </c:rich>
          </c:tx>
          <c:layout>
            <c:manualLayout>
              <c:xMode val="edge"/>
              <c:yMode val="edge"/>
              <c:x val="7.3294957934659163E-2"/>
              <c:y val="0.15095038729914861"/>
            </c:manualLayout>
          </c:layout>
        </c:title>
        <c:numFmt formatCode="0.00" sourceLinked="1"/>
        <c:tickLblPos val="nextTo"/>
        <c:txPr>
          <a:bodyPr/>
          <a:lstStyle/>
          <a:p>
            <a:pPr>
              <a:defRPr sz="800"/>
            </a:pPr>
            <a:endParaRPr lang="pt-BR"/>
          </a:p>
        </c:txPr>
        <c:crossAx val="82421248"/>
        <c:crosses val="autoZero"/>
        <c:crossBetween val="between"/>
      </c:valAx>
      <c:dTable>
        <c:showHorzBorder val="1"/>
        <c:showVertBorder val="1"/>
        <c:showOutline val="1"/>
        <c:showKeys val="1"/>
        <c:txPr>
          <a:bodyPr/>
          <a:lstStyle/>
          <a:p>
            <a:pPr rtl="0">
              <a:defRPr sz="800"/>
            </a:pPr>
            <a:endParaRPr lang="pt-BR"/>
          </a:p>
        </c:txPr>
      </c:dTable>
    </c:plotArea>
    <c:plotVisOnly val="1"/>
    <c:dispBlanksAs val="gap"/>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lang val="pt-BR"/>
  <c:chart>
    <c:plotArea>
      <c:layout>
        <c:manualLayout>
          <c:layoutTarget val="inner"/>
          <c:xMode val="edge"/>
          <c:yMode val="edge"/>
          <c:x val="0.23914513439797996"/>
          <c:y val="3.0660521093399909E-2"/>
          <c:w val="0.73761467889908272"/>
          <c:h val="0.70518949134624132"/>
        </c:manualLayout>
      </c:layout>
      <c:lineChart>
        <c:grouping val="standard"/>
        <c:ser>
          <c:idx val="0"/>
          <c:order val="0"/>
          <c:tx>
            <c:strRef>
              <c:f>'Renda Fixa 2024'!$A$62</c:f>
              <c:strCache>
                <c:ptCount val="1"/>
                <c:pt idx="0">
                  <c:v>IRF-M1</c:v>
                </c:pt>
              </c:strCache>
            </c:strRef>
          </c:tx>
          <c:marker>
            <c:symbol val="none"/>
          </c:marker>
          <c:cat>
            <c:strRef>
              <c:f>'Renda Fixa 2024'!$B$61:$K$61</c:f>
              <c:strCache>
                <c:ptCount val="10"/>
                <c:pt idx="0">
                  <c:v>jan</c:v>
                </c:pt>
                <c:pt idx="1">
                  <c:v>fev</c:v>
                </c:pt>
                <c:pt idx="2">
                  <c:v>mar</c:v>
                </c:pt>
                <c:pt idx="3">
                  <c:v>abr</c:v>
                </c:pt>
                <c:pt idx="4">
                  <c:v>mai</c:v>
                </c:pt>
                <c:pt idx="5">
                  <c:v>jun</c:v>
                </c:pt>
                <c:pt idx="6">
                  <c:v>jul</c:v>
                </c:pt>
                <c:pt idx="7">
                  <c:v>ago</c:v>
                </c:pt>
                <c:pt idx="8">
                  <c:v>set</c:v>
                </c:pt>
                <c:pt idx="9">
                  <c:v>out</c:v>
                </c:pt>
              </c:strCache>
            </c:strRef>
          </c:cat>
          <c:val>
            <c:numRef>
              <c:f>'Renda Fixa 2024'!$B$62:$K$62</c:f>
              <c:numCache>
                <c:formatCode>0.00</c:formatCode>
                <c:ptCount val="10"/>
                <c:pt idx="0">
                  <c:v>0.83430000000000004</c:v>
                </c:pt>
                <c:pt idx="1">
                  <c:v>1.6056823949999854</c:v>
                </c:pt>
                <c:pt idx="2">
                  <c:v>2.4589669157531793</c:v>
                </c:pt>
                <c:pt idx="3">
                  <c:v>3.0532289238645474</c:v>
                </c:pt>
                <c:pt idx="4">
                  <c:v>3.8570441094706971</c:v>
                </c:pt>
                <c:pt idx="5">
                  <c:v>4.511343487360354</c:v>
                </c:pt>
                <c:pt idx="6">
                  <c:v>5.4937501161415492</c:v>
                </c:pt>
                <c:pt idx="7">
                  <c:v>6.3060519920358438</c:v>
                </c:pt>
                <c:pt idx="8">
                  <c:v>7.1777616183705373</c:v>
                </c:pt>
                <c:pt idx="9">
                  <c:v>8.0780548159648422</c:v>
                </c:pt>
              </c:numCache>
            </c:numRef>
          </c:val>
          <c:extLst xmlns:c16r2="http://schemas.microsoft.com/office/drawing/2015/06/chart">
            <c:ext xmlns:c16="http://schemas.microsoft.com/office/drawing/2014/chart" uri="{C3380CC4-5D6E-409C-BE32-E72D297353CC}">
              <c16:uniqueId val="{00000000-E05F-4D53-8560-FEC6E215D675}"/>
            </c:ext>
          </c:extLst>
        </c:ser>
        <c:ser>
          <c:idx val="1"/>
          <c:order val="1"/>
          <c:tx>
            <c:strRef>
              <c:f>'Renda Fixa 2024'!$A$63</c:f>
              <c:strCache>
                <c:ptCount val="1"/>
                <c:pt idx="0">
                  <c:v>IMA-B5</c:v>
                </c:pt>
              </c:strCache>
            </c:strRef>
          </c:tx>
          <c:marker>
            <c:symbol val="none"/>
          </c:marker>
          <c:cat>
            <c:strRef>
              <c:f>'Renda Fixa 2024'!$B$61:$K$61</c:f>
              <c:strCache>
                <c:ptCount val="10"/>
                <c:pt idx="0">
                  <c:v>jan</c:v>
                </c:pt>
                <c:pt idx="1">
                  <c:v>fev</c:v>
                </c:pt>
                <c:pt idx="2">
                  <c:v>mar</c:v>
                </c:pt>
                <c:pt idx="3">
                  <c:v>abr</c:v>
                </c:pt>
                <c:pt idx="4">
                  <c:v>mai</c:v>
                </c:pt>
                <c:pt idx="5">
                  <c:v>jun</c:v>
                </c:pt>
                <c:pt idx="6">
                  <c:v>jul</c:v>
                </c:pt>
                <c:pt idx="7">
                  <c:v>ago</c:v>
                </c:pt>
                <c:pt idx="8">
                  <c:v>set</c:v>
                </c:pt>
                <c:pt idx="9">
                  <c:v>out</c:v>
                </c:pt>
              </c:strCache>
            </c:strRef>
          </c:cat>
          <c:val>
            <c:numRef>
              <c:f>'Renda Fixa 2024'!$B$63:$K$63</c:f>
              <c:numCache>
                <c:formatCode>0.00</c:formatCode>
                <c:ptCount val="10"/>
                <c:pt idx="0">
                  <c:v>0.6785000000000001</c:v>
                </c:pt>
                <c:pt idx="1">
                  <c:v>1.2758255405000083</c:v>
                </c:pt>
                <c:pt idx="2">
                  <c:v>2.0556493971618512</c:v>
                </c:pt>
                <c:pt idx="3">
                  <c:v>1.8515380983675334</c:v>
                </c:pt>
                <c:pt idx="4">
                  <c:v>2.9209792484003803</c:v>
                </c:pt>
                <c:pt idx="5">
                  <c:v>3.3223710674691325</c:v>
                </c:pt>
                <c:pt idx="6">
                  <c:v>4.26260464418311</c:v>
                </c:pt>
                <c:pt idx="7">
                  <c:v>4.8777540115837894</c:v>
                </c:pt>
                <c:pt idx="8">
                  <c:v>5.2972650276301279</c:v>
                </c:pt>
                <c:pt idx="9">
                  <c:v>6.0764647888345911</c:v>
                </c:pt>
              </c:numCache>
            </c:numRef>
          </c:val>
          <c:extLst xmlns:c16r2="http://schemas.microsoft.com/office/drawing/2015/06/chart">
            <c:ext xmlns:c16="http://schemas.microsoft.com/office/drawing/2014/chart" uri="{C3380CC4-5D6E-409C-BE32-E72D297353CC}">
              <c16:uniqueId val="{00000001-E05F-4D53-8560-FEC6E215D675}"/>
            </c:ext>
          </c:extLst>
        </c:ser>
        <c:ser>
          <c:idx val="2"/>
          <c:order val="2"/>
          <c:tx>
            <c:strRef>
              <c:f>'Renda Fixa 2024'!$A$64</c:f>
              <c:strCache>
                <c:ptCount val="1"/>
                <c:pt idx="0">
                  <c:v>IMA-S</c:v>
                </c:pt>
              </c:strCache>
            </c:strRef>
          </c:tx>
          <c:marker>
            <c:symbol val="none"/>
          </c:marker>
          <c:cat>
            <c:strRef>
              <c:f>'Renda Fixa 2024'!$B$61:$K$61</c:f>
              <c:strCache>
                <c:ptCount val="10"/>
                <c:pt idx="0">
                  <c:v>jan</c:v>
                </c:pt>
                <c:pt idx="1">
                  <c:v>fev</c:v>
                </c:pt>
                <c:pt idx="2">
                  <c:v>mar</c:v>
                </c:pt>
                <c:pt idx="3">
                  <c:v>abr</c:v>
                </c:pt>
                <c:pt idx="4">
                  <c:v>mai</c:v>
                </c:pt>
                <c:pt idx="5">
                  <c:v>jun</c:v>
                </c:pt>
                <c:pt idx="6">
                  <c:v>jul</c:v>
                </c:pt>
                <c:pt idx="7">
                  <c:v>ago</c:v>
                </c:pt>
                <c:pt idx="8">
                  <c:v>set</c:v>
                </c:pt>
                <c:pt idx="9">
                  <c:v>out</c:v>
                </c:pt>
              </c:strCache>
            </c:strRef>
          </c:cat>
          <c:val>
            <c:numRef>
              <c:f>'Renda Fixa 2024'!$B$64:$K$64</c:f>
              <c:numCache>
                <c:formatCode>0.00</c:formatCode>
                <c:ptCount val="10"/>
                <c:pt idx="0">
                  <c:v>0.98549999999999993</c:v>
                </c:pt>
                <c:pt idx="1">
                  <c:v>1.8135810999999833</c:v>
                </c:pt>
                <c:pt idx="2">
                  <c:v>2.6891778974599716</c:v>
                </c:pt>
                <c:pt idx="3">
                  <c:v>3.6133804985371003</c:v>
                </c:pt>
                <c:pt idx="4">
                  <c:v>4.4733715566749543</c:v>
                </c:pt>
                <c:pt idx="5">
                  <c:v>5.3196058662840153</c:v>
                </c:pt>
                <c:pt idx="6">
                  <c:v>6.3096101614271038</c:v>
                </c:pt>
                <c:pt idx="7">
                  <c:v>7.2663966528799362</c:v>
                </c:pt>
                <c:pt idx="8">
                  <c:v>8.1996143037599953</c:v>
                </c:pt>
                <c:pt idx="9">
                  <c:v>9.2599705239368539</c:v>
                </c:pt>
              </c:numCache>
            </c:numRef>
          </c:val>
          <c:extLst xmlns:c16r2="http://schemas.microsoft.com/office/drawing/2015/06/chart">
            <c:ext xmlns:c16="http://schemas.microsoft.com/office/drawing/2014/chart" uri="{C3380CC4-5D6E-409C-BE32-E72D297353CC}">
              <c16:uniqueId val="{00000002-E05F-4D53-8560-FEC6E215D675}"/>
            </c:ext>
          </c:extLst>
        </c:ser>
        <c:ser>
          <c:idx val="3"/>
          <c:order val="3"/>
          <c:tx>
            <c:strRef>
              <c:f>'Renda Fixa 2024'!$A$66</c:f>
              <c:strCache>
                <c:ptCount val="1"/>
                <c:pt idx="0">
                  <c:v>IPCA +6% a.a.</c:v>
                </c:pt>
              </c:strCache>
            </c:strRef>
          </c:tx>
          <c:spPr>
            <a:ln>
              <a:solidFill>
                <a:schemeClr val="tx1"/>
              </a:solidFill>
              <a:prstDash val="dash"/>
            </a:ln>
          </c:spPr>
          <c:marker>
            <c:symbol val="none"/>
          </c:marker>
          <c:cat>
            <c:strRef>
              <c:f>'Renda Fixa 2024'!$B$61:$K$61</c:f>
              <c:strCache>
                <c:ptCount val="10"/>
                <c:pt idx="0">
                  <c:v>jan</c:v>
                </c:pt>
                <c:pt idx="1">
                  <c:v>fev</c:v>
                </c:pt>
                <c:pt idx="2">
                  <c:v>mar</c:v>
                </c:pt>
                <c:pt idx="3">
                  <c:v>abr</c:v>
                </c:pt>
                <c:pt idx="4">
                  <c:v>mai</c:v>
                </c:pt>
                <c:pt idx="5">
                  <c:v>jun</c:v>
                </c:pt>
                <c:pt idx="6">
                  <c:v>jul</c:v>
                </c:pt>
                <c:pt idx="7">
                  <c:v>ago</c:v>
                </c:pt>
                <c:pt idx="8">
                  <c:v>set</c:v>
                </c:pt>
                <c:pt idx="9">
                  <c:v>out</c:v>
                </c:pt>
              </c:strCache>
            </c:strRef>
          </c:cat>
          <c:val>
            <c:numRef>
              <c:f>'Renda Fixa 2024'!$B$66:$K$66</c:f>
              <c:numCache>
                <c:formatCode>0.00</c:formatCode>
                <c:ptCount val="10"/>
                <c:pt idx="0">
                  <c:v>0.90879937099999097</c:v>
                </c:pt>
                <c:pt idx="1">
                  <c:v>2.2415978147565245</c:v>
                </c:pt>
                <c:pt idx="2">
                  <c:v>2.9036467264464516</c:v>
                </c:pt>
                <c:pt idx="3">
                  <c:v>3.7974726064836202</c:v>
                </c:pt>
                <c:pt idx="4">
                  <c:v>4.7825044694429488</c:v>
                </c:pt>
                <c:pt idx="5">
                  <c:v>5.5136528800262097</c:v>
                </c:pt>
                <c:pt idx="6">
                  <c:v>6.4301493953745652</c:v>
                </c:pt>
                <c:pt idx="7">
                  <c:v>6.9268138283701921</c:v>
                </c:pt>
                <c:pt idx="8">
                  <c:v>7.9200534969609437</c:v>
                </c:pt>
                <c:pt idx="9">
                  <c:v>9.0309646960282208</c:v>
                </c:pt>
              </c:numCache>
            </c:numRef>
          </c:val>
          <c:extLst xmlns:c16r2="http://schemas.microsoft.com/office/drawing/2015/06/chart">
            <c:ext xmlns:c16="http://schemas.microsoft.com/office/drawing/2014/chart" uri="{C3380CC4-5D6E-409C-BE32-E72D297353CC}">
              <c16:uniqueId val="{00000003-E05F-4D53-8560-FEC6E215D675}"/>
            </c:ext>
          </c:extLst>
        </c:ser>
        <c:dLbls/>
        <c:marker val="1"/>
        <c:axId val="82945536"/>
        <c:axId val="82947072"/>
      </c:lineChart>
      <c:catAx>
        <c:axId val="82945536"/>
        <c:scaling>
          <c:orientation val="minMax"/>
        </c:scaling>
        <c:axPos val="b"/>
        <c:numFmt formatCode="General" sourceLinked="0"/>
        <c:tickLblPos val="nextTo"/>
        <c:crossAx val="82947072"/>
        <c:crosses val="autoZero"/>
        <c:auto val="1"/>
        <c:lblAlgn val="ctr"/>
        <c:lblOffset val="100"/>
      </c:catAx>
      <c:valAx>
        <c:axId val="82947072"/>
        <c:scaling>
          <c:orientation val="minMax"/>
        </c:scaling>
        <c:axPos val="l"/>
        <c:majorGridlines/>
        <c:title>
          <c:tx>
            <c:rich>
              <a:bodyPr rot="-5400000" vert="horz"/>
              <a:lstStyle/>
              <a:p>
                <a:pPr>
                  <a:defRPr sz="900"/>
                </a:pPr>
                <a:r>
                  <a:rPr lang="en-US" sz="900"/>
                  <a:t>Taxa Acumulada no Ano (%)</a:t>
                </a:r>
              </a:p>
            </c:rich>
          </c:tx>
          <c:layout>
            <c:manualLayout>
              <c:xMode val="edge"/>
              <c:yMode val="edge"/>
              <c:x val="7.2362108347227727E-2"/>
              <c:y val="0.1517103898598042"/>
            </c:manualLayout>
          </c:layout>
        </c:title>
        <c:numFmt formatCode="0.00" sourceLinked="1"/>
        <c:tickLblPos val="nextTo"/>
        <c:crossAx val="82945536"/>
        <c:crosses val="autoZero"/>
        <c:crossBetween val="between"/>
      </c:valAx>
      <c:dTable>
        <c:showHorzBorder val="1"/>
        <c:showVertBorder val="1"/>
        <c:showOutline val="1"/>
        <c:showKeys val="1"/>
      </c:dTable>
    </c:plotArea>
    <c:plotVisOnly val="1"/>
    <c:dispBlanksAs val="gap"/>
  </c:chart>
  <c:txPr>
    <a:bodyPr/>
    <a:lstStyle/>
    <a:p>
      <a:pPr>
        <a:defRPr sz="800"/>
      </a:pPr>
      <a:endParaRPr lang="pt-BR"/>
    </a:p>
  </c:tx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lang val="pt-BR"/>
  <c:chart>
    <c:autoTitleDeleted val="1"/>
    <c:plotArea>
      <c:layout>
        <c:manualLayout>
          <c:layoutTarget val="inner"/>
          <c:xMode val="edge"/>
          <c:yMode val="edge"/>
          <c:x val="0.22171084864391952"/>
          <c:y val="4.9787083789414231E-2"/>
          <c:w val="0.69130249343832029"/>
          <c:h val="0.71036084305251312"/>
        </c:manualLayout>
      </c:layout>
      <c:lineChart>
        <c:grouping val="standard"/>
        <c:ser>
          <c:idx val="0"/>
          <c:order val="0"/>
          <c:tx>
            <c:strRef>
              <c:f>'Renda Variável Acumulado'!$A$7</c:f>
              <c:strCache>
                <c:ptCount val="1"/>
                <c:pt idx="0">
                  <c:v>IBOVESPA</c:v>
                </c:pt>
              </c:strCache>
            </c:strRef>
          </c:tx>
          <c:cat>
            <c:numRef>
              <c:f>'Renda Variável Acumulado'!$B$6:$H$6</c:f>
              <c:numCache>
                <c:formatCode>General</c:formatCode>
                <c:ptCount val="7"/>
                <c:pt idx="0">
                  <c:v>2017</c:v>
                </c:pt>
                <c:pt idx="1">
                  <c:v>2018</c:v>
                </c:pt>
                <c:pt idx="2">
                  <c:v>2019</c:v>
                </c:pt>
                <c:pt idx="3">
                  <c:v>2020</c:v>
                </c:pt>
                <c:pt idx="4">
                  <c:v>2021</c:v>
                </c:pt>
                <c:pt idx="5">
                  <c:v>2022</c:v>
                </c:pt>
                <c:pt idx="6">
                  <c:v>2023</c:v>
                </c:pt>
              </c:numCache>
            </c:numRef>
          </c:cat>
          <c:val>
            <c:numRef>
              <c:f>'Renda Variável Acumulado'!$B$7:$H$7</c:f>
              <c:numCache>
                <c:formatCode>0.00</c:formatCode>
                <c:ptCount val="7"/>
                <c:pt idx="0">
                  <c:v>26.86</c:v>
                </c:pt>
                <c:pt idx="1">
                  <c:v>15.03</c:v>
                </c:pt>
                <c:pt idx="2">
                  <c:v>31.58</c:v>
                </c:pt>
                <c:pt idx="3">
                  <c:v>2.92</c:v>
                </c:pt>
                <c:pt idx="4">
                  <c:v>-11.93</c:v>
                </c:pt>
                <c:pt idx="5">
                  <c:v>4.68</c:v>
                </c:pt>
                <c:pt idx="6">
                  <c:v>22.279999999999998</c:v>
                </c:pt>
              </c:numCache>
            </c:numRef>
          </c:val>
          <c:extLst xmlns:c16r2="http://schemas.microsoft.com/office/drawing/2015/06/chart">
            <c:ext xmlns:c16="http://schemas.microsoft.com/office/drawing/2014/chart" uri="{C3380CC4-5D6E-409C-BE32-E72D297353CC}">
              <c16:uniqueId val="{00000000-25F2-49CA-8BF7-797FAC9D81BD}"/>
            </c:ext>
          </c:extLst>
        </c:ser>
        <c:dLbls/>
        <c:marker val="1"/>
        <c:axId val="83046784"/>
        <c:axId val="83048704"/>
      </c:lineChart>
      <c:catAx>
        <c:axId val="83046784"/>
        <c:scaling>
          <c:orientation val="minMax"/>
        </c:scaling>
        <c:axPos val="b"/>
        <c:title>
          <c:tx>
            <c:rich>
              <a:bodyPr/>
              <a:lstStyle/>
              <a:p>
                <a:pPr>
                  <a:defRPr sz="900"/>
                </a:pPr>
                <a:r>
                  <a:rPr lang="en-US" sz="900"/>
                  <a:t>ANO</a:t>
                </a:r>
              </a:p>
            </c:rich>
          </c:tx>
          <c:layout>
            <c:manualLayout>
              <c:xMode val="edge"/>
              <c:yMode val="edge"/>
              <c:x val="0.4773622047244096"/>
              <c:y val="0.79496310158539596"/>
            </c:manualLayout>
          </c:layout>
        </c:title>
        <c:numFmt formatCode="General" sourceLinked="1"/>
        <c:tickLblPos val="nextTo"/>
        <c:txPr>
          <a:bodyPr/>
          <a:lstStyle/>
          <a:p>
            <a:pPr>
              <a:defRPr sz="800"/>
            </a:pPr>
            <a:endParaRPr lang="pt-BR"/>
          </a:p>
        </c:txPr>
        <c:crossAx val="83048704"/>
        <c:crosses val="autoZero"/>
        <c:auto val="1"/>
        <c:lblAlgn val="ctr"/>
        <c:lblOffset val="100"/>
      </c:catAx>
      <c:valAx>
        <c:axId val="83048704"/>
        <c:scaling>
          <c:orientation val="minMax"/>
        </c:scaling>
        <c:axPos val="l"/>
        <c:majorGridlines/>
        <c:title>
          <c:tx>
            <c:rich>
              <a:bodyPr rot="-5400000" vert="horz"/>
              <a:lstStyle/>
              <a:p>
                <a:pPr>
                  <a:defRPr sz="900"/>
                </a:pPr>
                <a:r>
                  <a:rPr lang="en-US" sz="900"/>
                  <a:t>Taxa Acumulado no Ano (%)</a:t>
                </a:r>
              </a:p>
            </c:rich>
          </c:tx>
          <c:layout>
            <c:manualLayout>
              <c:xMode val="edge"/>
              <c:yMode val="edge"/>
              <c:x val="4.7222222222222228E-2"/>
              <c:y val="0.18641785247696063"/>
            </c:manualLayout>
          </c:layout>
        </c:title>
        <c:numFmt formatCode="0.00" sourceLinked="1"/>
        <c:tickLblPos val="nextTo"/>
        <c:txPr>
          <a:bodyPr/>
          <a:lstStyle/>
          <a:p>
            <a:pPr>
              <a:defRPr sz="800"/>
            </a:pPr>
            <a:endParaRPr lang="pt-BR"/>
          </a:p>
        </c:txPr>
        <c:crossAx val="83046784"/>
        <c:crosses val="autoZero"/>
        <c:crossBetween val="midCat"/>
        <c:majorUnit val="10"/>
      </c:valAx>
    </c:plotArea>
    <c:legend>
      <c:legendPos val="r"/>
      <c:layout>
        <c:manualLayout>
          <c:xMode val="edge"/>
          <c:yMode val="edge"/>
          <c:x val="0.39166688538932642"/>
          <c:y val="0.88565304897425923"/>
          <c:w val="0.21388888888888888"/>
          <c:h val="7.8475689417746533E-2"/>
        </c:manualLayout>
      </c:layout>
      <c:txPr>
        <a:bodyPr/>
        <a:lstStyle/>
        <a:p>
          <a:pPr>
            <a:defRPr sz="900"/>
          </a:pPr>
          <a:endParaRPr lang="pt-BR"/>
        </a:p>
      </c:txPr>
    </c:legend>
    <c:plotVisOnly val="1"/>
    <c:dispBlanksAs val="gap"/>
  </c:chart>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lang val="pt-BR"/>
  <c:chart>
    <c:plotArea>
      <c:layout>
        <c:manualLayout>
          <c:layoutTarget val="inner"/>
          <c:xMode val="edge"/>
          <c:yMode val="edge"/>
          <c:x val="0.16731799863599731"/>
          <c:y val="4.7492200267419411E-2"/>
          <c:w val="0.79908620083906823"/>
          <c:h val="0.80301663942950541"/>
        </c:manualLayout>
      </c:layout>
      <c:lineChart>
        <c:grouping val="standard"/>
        <c:ser>
          <c:idx val="0"/>
          <c:order val="0"/>
          <c:tx>
            <c:strRef>
              <c:f>'Renda Variável 2024'!$A$8</c:f>
              <c:strCache>
                <c:ptCount val="1"/>
                <c:pt idx="0">
                  <c:v>IBrX-100</c:v>
                </c:pt>
              </c:strCache>
            </c:strRef>
          </c:tx>
          <c:marker>
            <c:symbol val="none"/>
          </c:marker>
          <c:cat>
            <c:strRef>
              <c:f>'Renda Variável 2024'!$B$7:$K$7</c:f>
              <c:strCache>
                <c:ptCount val="10"/>
                <c:pt idx="0">
                  <c:v>jan</c:v>
                </c:pt>
                <c:pt idx="1">
                  <c:v>fev</c:v>
                </c:pt>
                <c:pt idx="2">
                  <c:v>mar</c:v>
                </c:pt>
                <c:pt idx="3">
                  <c:v>abr</c:v>
                </c:pt>
                <c:pt idx="4">
                  <c:v>mai</c:v>
                </c:pt>
                <c:pt idx="5">
                  <c:v>jun</c:v>
                </c:pt>
                <c:pt idx="6">
                  <c:v>jul</c:v>
                </c:pt>
                <c:pt idx="7">
                  <c:v>ago</c:v>
                </c:pt>
                <c:pt idx="8">
                  <c:v>set</c:v>
                </c:pt>
                <c:pt idx="9">
                  <c:v>out</c:v>
                </c:pt>
              </c:strCache>
            </c:strRef>
          </c:cat>
          <c:val>
            <c:numRef>
              <c:f>'Renda Variável 2024'!$B$8:$K$8</c:f>
              <c:numCache>
                <c:formatCode>0.00</c:formatCode>
                <c:ptCount val="10"/>
                <c:pt idx="0">
                  <c:v>-4.51</c:v>
                </c:pt>
                <c:pt idx="1">
                  <c:v>-3.5932960000000014</c:v>
                </c:pt>
                <c:pt idx="2">
                  <c:v>-4.2970649392000011</c:v>
                </c:pt>
                <c:pt idx="3">
                  <c:v>-5.5794842690147215</c:v>
                </c:pt>
                <c:pt idx="4">
                  <c:v>-8.5820566692600639</c:v>
                </c:pt>
                <c:pt idx="5">
                  <c:v>-7.2016457249659007</c:v>
                </c:pt>
                <c:pt idx="6">
                  <c:v>-4.5104934509899159</c:v>
                </c:pt>
                <c:pt idx="7">
                  <c:v>1.79181398124475</c:v>
                </c:pt>
                <c:pt idx="8">
                  <c:v>-1.2314028939982125</c:v>
                </c:pt>
                <c:pt idx="9">
                  <c:v>-2.7425624297200408</c:v>
                </c:pt>
              </c:numCache>
            </c:numRef>
          </c:val>
          <c:extLst xmlns:c16r2="http://schemas.microsoft.com/office/drawing/2015/06/chart">
            <c:ext xmlns:c16="http://schemas.microsoft.com/office/drawing/2014/chart" uri="{C3380CC4-5D6E-409C-BE32-E72D297353CC}">
              <c16:uniqueId val="{00000000-835A-41D8-8F9C-2F897D24C6B4}"/>
            </c:ext>
          </c:extLst>
        </c:ser>
        <c:ser>
          <c:idx val="1"/>
          <c:order val="1"/>
          <c:tx>
            <c:strRef>
              <c:f>'Renda Variável 2024'!$A$9</c:f>
              <c:strCache>
                <c:ptCount val="1"/>
                <c:pt idx="0">
                  <c:v>IBOVESPA</c:v>
                </c:pt>
              </c:strCache>
            </c:strRef>
          </c:tx>
          <c:marker>
            <c:symbol val="none"/>
          </c:marker>
          <c:cat>
            <c:strRef>
              <c:f>'Renda Variável 2024'!$B$7:$K$7</c:f>
              <c:strCache>
                <c:ptCount val="10"/>
                <c:pt idx="0">
                  <c:v>jan</c:v>
                </c:pt>
                <c:pt idx="1">
                  <c:v>fev</c:v>
                </c:pt>
                <c:pt idx="2">
                  <c:v>mar</c:v>
                </c:pt>
                <c:pt idx="3">
                  <c:v>abr</c:v>
                </c:pt>
                <c:pt idx="4">
                  <c:v>mai</c:v>
                </c:pt>
                <c:pt idx="5">
                  <c:v>jun</c:v>
                </c:pt>
                <c:pt idx="6">
                  <c:v>jul</c:v>
                </c:pt>
                <c:pt idx="7">
                  <c:v>ago</c:v>
                </c:pt>
                <c:pt idx="8">
                  <c:v>set</c:v>
                </c:pt>
                <c:pt idx="9">
                  <c:v>out</c:v>
                </c:pt>
              </c:strCache>
            </c:strRef>
          </c:cat>
          <c:val>
            <c:numRef>
              <c:f>'Renda Variável 2024'!$B$9:$K$9</c:f>
              <c:numCache>
                <c:formatCode>0.00</c:formatCode>
                <c:ptCount val="10"/>
                <c:pt idx="0">
                  <c:v>-4.79</c:v>
                </c:pt>
                <c:pt idx="1">
                  <c:v>-3.8474210000000069</c:v>
                </c:pt>
                <c:pt idx="2">
                  <c:v>-4.5301043109000076</c:v>
                </c:pt>
                <c:pt idx="3">
                  <c:v>-6.1530925376147119</c:v>
                </c:pt>
                <c:pt idx="4">
                  <c:v>-9.0060385244712275</c:v>
                </c:pt>
                <c:pt idx="5">
                  <c:v>-7.6593278946334058</c:v>
                </c:pt>
                <c:pt idx="6">
                  <c:v>-4.8706395970513308</c:v>
                </c:pt>
                <c:pt idx="7">
                  <c:v>1.3508205733015146</c:v>
                </c:pt>
                <c:pt idx="8">
                  <c:v>-1.7707847003561759</c:v>
                </c:pt>
                <c:pt idx="9">
                  <c:v>-3.3424521451504763</c:v>
                </c:pt>
              </c:numCache>
            </c:numRef>
          </c:val>
          <c:extLst xmlns:c16r2="http://schemas.microsoft.com/office/drawing/2015/06/chart">
            <c:ext xmlns:c16="http://schemas.microsoft.com/office/drawing/2014/chart" uri="{C3380CC4-5D6E-409C-BE32-E72D297353CC}">
              <c16:uniqueId val="{00000001-835A-41D8-8F9C-2F897D24C6B4}"/>
            </c:ext>
          </c:extLst>
        </c:ser>
        <c:dLbls/>
        <c:marker val="1"/>
        <c:axId val="83084032"/>
        <c:axId val="83085568"/>
      </c:lineChart>
      <c:catAx>
        <c:axId val="83084032"/>
        <c:scaling>
          <c:orientation val="minMax"/>
        </c:scaling>
        <c:axPos val="b"/>
        <c:numFmt formatCode="General" sourceLinked="0"/>
        <c:tickLblPos val="nextTo"/>
        <c:crossAx val="83085568"/>
        <c:crosses val="autoZero"/>
        <c:auto val="1"/>
        <c:lblAlgn val="ctr"/>
        <c:lblOffset val="100"/>
      </c:catAx>
      <c:valAx>
        <c:axId val="83085568"/>
        <c:scaling>
          <c:orientation val="minMax"/>
        </c:scaling>
        <c:axPos val="l"/>
        <c:majorGridlines/>
        <c:title>
          <c:tx>
            <c:rich>
              <a:bodyPr rot="-5400000" vert="horz"/>
              <a:lstStyle/>
              <a:p>
                <a:pPr>
                  <a:defRPr sz="900"/>
                </a:pPr>
                <a:r>
                  <a:rPr lang="en-US" sz="900"/>
                  <a:t>Taxa Acumulada no Ano (%)</a:t>
                </a:r>
              </a:p>
            </c:rich>
          </c:tx>
          <c:layout>
            <c:manualLayout>
              <c:xMode val="edge"/>
              <c:yMode val="edge"/>
              <c:x val="4.5153390453685424E-2"/>
              <c:y val="0.2566811324156999"/>
            </c:manualLayout>
          </c:layout>
        </c:title>
        <c:numFmt formatCode="0.00" sourceLinked="1"/>
        <c:tickLblPos val="nextTo"/>
        <c:txPr>
          <a:bodyPr/>
          <a:lstStyle/>
          <a:p>
            <a:pPr>
              <a:defRPr sz="800"/>
            </a:pPr>
            <a:endParaRPr lang="pt-BR"/>
          </a:p>
        </c:txPr>
        <c:crossAx val="83084032"/>
        <c:crosses val="autoZero"/>
        <c:crossBetween val="between"/>
      </c:valAx>
      <c:dTable>
        <c:showHorzBorder val="1"/>
        <c:showVertBorder val="1"/>
        <c:showOutline val="1"/>
        <c:showKeys val="1"/>
        <c:txPr>
          <a:bodyPr/>
          <a:lstStyle/>
          <a:p>
            <a:pPr rtl="0">
              <a:defRPr sz="800"/>
            </a:pPr>
            <a:endParaRPr lang="pt-BR"/>
          </a:p>
        </c:txPr>
      </c:dTable>
    </c:plotArea>
    <c:plotVisOnly val="1"/>
    <c:dispBlanksAs val="gap"/>
  </c:chart>
  <c:externalData r:id="rId1"/>
</c:chartSpace>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0775BA-EDF2-456A-8EBC-16DD1A582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45</Pages>
  <Words>16918</Words>
  <Characters>91363</Characters>
  <Application>Microsoft Office Word</Application>
  <DocSecurity>0</DocSecurity>
  <Lines>761</Lines>
  <Paragraphs>216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108065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Lucimar</dc:creator>
  <cp:lastModifiedBy>TecleEnter</cp:lastModifiedBy>
  <cp:revision>2</cp:revision>
  <cp:lastPrinted>2018-01-04T15:05:00Z</cp:lastPrinted>
  <dcterms:created xsi:type="dcterms:W3CDTF">2024-11-07T17:29:00Z</dcterms:created>
  <dcterms:modified xsi:type="dcterms:W3CDTF">2024-11-07T17:29:00Z</dcterms:modified>
</cp:coreProperties>
</file>